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6BF" w:rsidRPr="00444C61" w:rsidRDefault="00B266BF" w:rsidP="00B266BF">
      <w:pPr>
        <w:pStyle w:val="Heading2"/>
        <w:ind w:left="275"/>
        <w:rPr>
          <w:rFonts w:ascii="Open Sans" w:hAnsi="Open Sans" w:cs="Open Sans"/>
          <w:sz w:val="15"/>
        </w:rPr>
      </w:pPr>
      <w:r w:rsidRPr="00444C61">
        <w:rPr>
          <w:rFonts w:ascii="Open Sans" w:hAnsi="Open Sans" w:cs="Open Sans"/>
          <w:color w:val="231F20"/>
          <w:spacing w:val="6"/>
        </w:rPr>
        <w:t xml:space="preserve">BARRIERS </w:t>
      </w:r>
      <w:r w:rsidRPr="00444C61">
        <w:rPr>
          <w:rFonts w:ascii="Open Sans" w:hAnsi="Open Sans" w:cs="Open Sans"/>
          <w:color w:val="231F20"/>
        </w:rPr>
        <w:t xml:space="preserve">TO </w:t>
      </w:r>
      <w:r w:rsidRPr="00444C61">
        <w:rPr>
          <w:rFonts w:ascii="Open Sans" w:hAnsi="Open Sans" w:cs="Open Sans"/>
          <w:color w:val="231F20"/>
          <w:spacing w:val="6"/>
        </w:rPr>
        <w:t xml:space="preserve">CARE </w:t>
      </w:r>
      <w:r w:rsidRPr="00444C61">
        <w:rPr>
          <w:rFonts w:ascii="Open Sans" w:hAnsi="Open Sans" w:cs="Open Sans"/>
          <w:color w:val="231F20"/>
        </w:rPr>
        <w:t xml:space="preserve">ANALYSIS </w:t>
      </w:r>
      <w:r w:rsidRPr="00444C61">
        <w:rPr>
          <w:rFonts w:ascii="Open Sans" w:hAnsi="Open Sans" w:cs="Open Sans"/>
          <w:color w:val="231F20"/>
          <w:spacing w:val="6"/>
        </w:rPr>
        <w:t xml:space="preserve">AND </w:t>
      </w:r>
      <w:r w:rsidRPr="00444C61">
        <w:rPr>
          <w:rFonts w:ascii="Open Sans" w:hAnsi="Open Sans" w:cs="Open Sans"/>
          <w:color w:val="231F20"/>
          <w:spacing w:val="7"/>
        </w:rPr>
        <w:t>PLANNING</w:t>
      </w:r>
      <w:r w:rsidRPr="00444C61">
        <w:rPr>
          <w:rFonts w:ascii="Open Sans" w:hAnsi="Open Sans" w:cs="Open Sans"/>
          <w:color w:val="231F20"/>
          <w:spacing w:val="66"/>
        </w:rPr>
        <w:t xml:space="preserve"> </w:t>
      </w:r>
      <w:r w:rsidRPr="00444C61">
        <w:rPr>
          <w:rFonts w:ascii="Open Sans" w:hAnsi="Open Sans" w:cs="Open Sans"/>
          <w:color w:val="231F20"/>
          <w:spacing w:val="4"/>
        </w:rPr>
        <w:t>TOOL</w:t>
      </w:r>
      <w:r w:rsidRPr="00444C61">
        <w:rPr>
          <w:rFonts w:ascii="Open Sans" w:hAnsi="Open Sans" w:cs="Open Sans"/>
          <w:color w:val="231F20"/>
          <w:spacing w:val="4"/>
          <w:position w:val="9"/>
          <w:sz w:val="15"/>
        </w:rPr>
        <w:t>68</w:t>
      </w:r>
    </w:p>
    <w:p w:rsidR="00B266BF" w:rsidRPr="00444C61" w:rsidRDefault="00B266BF" w:rsidP="00B266BF">
      <w:pPr>
        <w:pStyle w:val="BodyText"/>
        <w:spacing w:before="1"/>
        <w:rPr>
          <w:b/>
          <w:sz w:val="17"/>
        </w:rPr>
      </w:pPr>
      <w:r w:rsidRPr="00444C61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36DFA0D" wp14:editId="1D1E9054">
                <wp:simplePos x="0" y="0"/>
                <wp:positionH relativeFrom="page">
                  <wp:posOffset>453390</wp:posOffset>
                </wp:positionH>
                <wp:positionV relativeFrom="paragraph">
                  <wp:posOffset>175895</wp:posOffset>
                </wp:positionV>
                <wp:extent cx="6861810" cy="0"/>
                <wp:effectExtent l="24765" t="26670" r="28575" b="30480"/>
                <wp:wrapTopAndBottom/>
                <wp:docPr id="7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  <a:noFill/>
                        <a:ln w="42164">
                          <a:solidFill>
                            <a:srgbClr val="F4F3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4FA19" id="Line 27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.7pt,13.85pt" to="8in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" strokecolor="#f4f3f0" strokeweight="3.32pt">
                <w10:wrap type="topAndBottom" anchorx="page"/>
              </v:line>
            </w:pict>
          </mc:Fallback>
        </mc:AlternateContent>
      </w:r>
    </w:p>
    <w:p w:rsidR="00B266BF" w:rsidRPr="00444C61" w:rsidRDefault="00B266BF" w:rsidP="00B266BF">
      <w:pPr>
        <w:pStyle w:val="BodyText"/>
        <w:spacing w:before="9"/>
        <w:rPr>
          <w:b/>
          <w:sz w:val="26"/>
        </w:rPr>
      </w:pPr>
    </w:p>
    <w:p w:rsidR="00B266BF" w:rsidRPr="00444C61" w:rsidRDefault="00B266BF" w:rsidP="00B266BF">
      <w:pPr>
        <w:pStyle w:val="BodyText"/>
        <w:spacing w:line="268" w:lineRule="auto"/>
        <w:ind w:left="274" w:right="509"/>
      </w:pPr>
      <w:r w:rsidRPr="00444C61">
        <w:rPr>
          <w:color w:val="231F20"/>
        </w:rPr>
        <w:t>Use this tool to develop an action plan to address barriers faced by survivors of GBV in accessing care and support services. This tool has two parts:</w:t>
      </w:r>
    </w:p>
    <w:p w:rsidR="00B266BF" w:rsidRPr="00444C61" w:rsidRDefault="00B266BF" w:rsidP="00B266BF">
      <w:pPr>
        <w:pStyle w:val="BodyText"/>
        <w:spacing w:before="180"/>
        <w:ind w:left="274"/>
      </w:pPr>
      <w:r w:rsidRPr="00444C61">
        <w:rPr>
          <w:b/>
          <w:color w:val="231F20"/>
        </w:rPr>
        <w:t xml:space="preserve">Part A </w:t>
      </w:r>
      <w:r w:rsidRPr="00444C61">
        <w:rPr>
          <w:color w:val="231F20"/>
        </w:rPr>
        <w:t>provides guidance on how to do a barrier assessment and identify solutions.</w:t>
      </w:r>
    </w:p>
    <w:p w:rsidR="00B266BF" w:rsidRPr="00444C61" w:rsidRDefault="00B266BF" w:rsidP="00B266BF">
      <w:pPr>
        <w:pStyle w:val="BodyText"/>
        <w:spacing w:before="211"/>
        <w:ind w:left="274"/>
      </w:pPr>
      <w:r w:rsidRPr="00444C61">
        <w:rPr>
          <w:b/>
          <w:color w:val="231F20"/>
        </w:rPr>
        <w:t xml:space="preserve">Part B </w:t>
      </w:r>
      <w:r w:rsidRPr="00444C61">
        <w:rPr>
          <w:color w:val="231F20"/>
        </w:rPr>
        <w:t>provides a template to use to document the action plan for addressing barriers faced by survivors.</w:t>
      </w:r>
    </w:p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spacing w:before="7"/>
        <w:rPr>
          <w:sz w:val="14"/>
        </w:rPr>
      </w:pPr>
    </w:p>
    <w:tbl>
      <w:tblPr>
        <w:tblW w:w="0" w:type="auto"/>
        <w:tblInd w:w="2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B266BF" w:rsidRPr="00444C61" w:rsidTr="007B46BF">
        <w:trPr>
          <w:trHeight w:hRule="exact" w:val="1370"/>
        </w:trPr>
        <w:tc>
          <w:tcPr>
            <w:tcW w:w="10780" w:type="dxa"/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6"/>
              <w:rPr>
                <w:sz w:val="26"/>
              </w:rPr>
            </w:pPr>
          </w:p>
          <w:p w:rsidR="00B266BF" w:rsidRPr="00444C61" w:rsidRDefault="00B266BF" w:rsidP="007B46BF">
            <w:pPr>
              <w:pStyle w:val="TableParagraph"/>
              <w:spacing w:line="300" w:lineRule="auto"/>
              <w:ind w:left="3539" w:right="1265" w:hanging="1943"/>
              <w:rPr>
                <w:b/>
                <w:bCs/>
                <w:sz w:val="28"/>
              </w:rPr>
            </w:pPr>
            <w:r w:rsidRPr="00444C61">
              <w:rPr>
                <w:b/>
                <w:bCs/>
                <w:color w:val="FFFFFF"/>
                <w:sz w:val="28"/>
              </w:rPr>
              <w:t>PART A: STEPS IN ADDRESSING BARRIERS TO CARE AND SUPPORT SERVICES</w:t>
            </w:r>
          </w:p>
        </w:tc>
      </w:tr>
      <w:tr w:rsidR="00B266BF" w:rsidRPr="00444C61" w:rsidTr="007B46BF">
        <w:trPr>
          <w:trHeight w:hRule="exact" w:val="734"/>
        </w:trPr>
        <w:tc>
          <w:tcPr>
            <w:tcW w:w="10780" w:type="dxa"/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6"/>
              <w:rPr>
                <w:sz w:val="20"/>
              </w:rPr>
            </w:pPr>
          </w:p>
          <w:p w:rsidR="00B266BF" w:rsidRPr="00444C61" w:rsidRDefault="00B266BF" w:rsidP="007B46BF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Step 1. Organize a workshop to develop a plan to address critical capacity gaps.</w:t>
            </w:r>
          </w:p>
        </w:tc>
      </w:tr>
      <w:tr w:rsidR="00B266BF" w:rsidRPr="00444C61" w:rsidTr="007B46BF">
        <w:trPr>
          <w:trHeight w:hRule="exact" w:val="1138"/>
        </w:trPr>
        <w:tc>
          <w:tcPr>
            <w:tcW w:w="10780" w:type="dxa"/>
            <w:tcBorders>
              <w:left w:val="single" w:sz="8" w:space="0" w:color="0994BB"/>
              <w:right w:val="single" w:sz="8" w:space="0" w:color="0994BB"/>
            </w:tcBorders>
          </w:tcPr>
          <w:p w:rsidR="00B266BF" w:rsidRPr="00444C61" w:rsidRDefault="00B266BF" w:rsidP="007B46BF">
            <w:pPr>
              <w:pStyle w:val="TableParagraph"/>
              <w:spacing w:before="202" w:line="268" w:lineRule="auto"/>
              <w:ind w:left="440" w:right="70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Do this exercise in a participatory manner, inviting representatives from organizations, community networks and other groups that advocate on behalf of GBV survivors.</w:t>
            </w:r>
          </w:p>
        </w:tc>
      </w:tr>
      <w:tr w:rsidR="00B266BF" w:rsidRPr="00444C61" w:rsidTr="007B46BF">
        <w:trPr>
          <w:trHeight w:hRule="exact" w:val="740"/>
        </w:trPr>
        <w:tc>
          <w:tcPr>
            <w:tcW w:w="10780" w:type="dxa"/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8"/>
              <w:rPr>
                <w:sz w:val="17"/>
              </w:rPr>
            </w:pPr>
          </w:p>
          <w:p w:rsidR="00B266BF" w:rsidRPr="00444C61" w:rsidRDefault="00B266BF" w:rsidP="007B46BF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Step 2.  Identify the service and population to be analysed.</w:t>
            </w:r>
          </w:p>
        </w:tc>
      </w:tr>
      <w:tr w:rsidR="00B266BF" w:rsidRPr="00444C61" w:rsidTr="007B46BF">
        <w:trPr>
          <w:trHeight w:hRule="exact" w:val="4760"/>
        </w:trPr>
        <w:tc>
          <w:tcPr>
            <w:tcW w:w="10780" w:type="dxa"/>
            <w:tcBorders>
              <w:left w:val="single" w:sz="8" w:space="0" w:color="0994BB"/>
              <w:bottom w:val="single" w:sz="8" w:space="0" w:color="0994BB"/>
              <w:right w:val="single" w:sz="8" w:space="0" w:color="0994BB"/>
            </w:tcBorders>
          </w:tcPr>
          <w:p w:rsidR="00B266BF" w:rsidRPr="00444C61" w:rsidRDefault="00B266BF" w:rsidP="007B46BF">
            <w:pPr>
              <w:pStyle w:val="TableParagraph"/>
              <w:spacing w:before="6"/>
              <w:rPr>
                <w:sz w:val="21"/>
              </w:rPr>
            </w:pPr>
          </w:p>
          <w:p w:rsidR="00B266BF" w:rsidRPr="00444C61" w:rsidRDefault="00B266BF" w:rsidP="007B46BF">
            <w:pPr>
              <w:pStyle w:val="TableParagraph"/>
              <w:spacing w:line="268" w:lineRule="auto"/>
              <w:ind w:left="440" w:right="66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You can choose to look at barriers in different ways. You can look at barriers in accessing a particular service, for example, barriers faced in accessing law enforcement. You can focus on barriers faced by a particular group of survivors, for example, any barriers faced by adolescent girls. Or you could look at barriers faced by a particular group in accessing a particular service, for example, barriers to adolescent girls in accessing health care. You can also do all three as needed, although this will take more time.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5"/>
              </w:numPr>
              <w:tabs>
                <w:tab w:val="left" w:pos="799"/>
                <w:tab w:val="left" w:pos="800"/>
              </w:tabs>
              <w:spacing w:before="180" w:line="268" w:lineRule="auto"/>
              <w:ind w:right="59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To identify barriers survivors face </w:t>
            </w:r>
            <w:r w:rsidRPr="00444C61">
              <w:rPr>
                <w:b/>
                <w:color w:val="231F20"/>
                <w:sz w:val="19"/>
              </w:rPr>
              <w:t>in accessing a particular service</w:t>
            </w:r>
            <w:r w:rsidRPr="00444C61">
              <w:rPr>
                <w:color w:val="231F20"/>
                <w:sz w:val="19"/>
              </w:rPr>
              <w:t xml:space="preserve">, </w:t>
            </w:r>
            <w:r w:rsidRPr="00444C61">
              <w:rPr>
                <w:b/>
                <w:color w:val="231F20"/>
                <w:sz w:val="19"/>
              </w:rPr>
              <w:t xml:space="preserve">write the name of the service </w:t>
            </w:r>
            <w:r w:rsidRPr="00444C61">
              <w:rPr>
                <w:color w:val="231F20"/>
                <w:sz w:val="19"/>
              </w:rPr>
              <w:t>in a circle,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e.g.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health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post,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police,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women’s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centre,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etc.,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and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draw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series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of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concentric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circles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around</w:t>
            </w:r>
            <w:r w:rsidRPr="00444C61">
              <w:rPr>
                <w:color w:val="231F20"/>
                <w:spacing w:val="-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it.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5"/>
              </w:numPr>
              <w:tabs>
                <w:tab w:val="left" w:pos="800"/>
              </w:tabs>
              <w:spacing w:before="180" w:line="268" w:lineRule="auto"/>
              <w:ind w:right="57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identify barriers faced </w:t>
            </w:r>
            <w:r w:rsidRPr="00444C61">
              <w:rPr>
                <w:color w:val="231F20"/>
                <w:sz w:val="19"/>
              </w:rPr>
              <w:t xml:space="preserve">by </w:t>
            </w:r>
            <w:r w:rsidRPr="00444C61">
              <w:rPr>
                <w:b/>
                <w:color w:val="231F20"/>
                <w:sz w:val="19"/>
              </w:rPr>
              <w:t xml:space="preserve">a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particular group </w:t>
            </w:r>
            <w:r w:rsidRPr="00444C61">
              <w:rPr>
                <w:b/>
                <w:color w:val="231F20"/>
                <w:sz w:val="19"/>
              </w:rPr>
              <w:t xml:space="preserve">of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survivors, write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name </w:t>
            </w:r>
            <w:r w:rsidRPr="00444C61">
              <w:rPr>
                <w:b/>
                <w:color w:val="231F20"/>
                <w:sz w:val="19"/>
              </w:rPr>
              <w:t xml:space="preserve">of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group </w:t>
            </w:r>
            <w:r w:rsidRPr="00444C61">
              <w:rPr>
                <w:color w:val="231F20"/>
                <w:sz w:val="19"/>
              </w:rPr>
              <w:t xml:space="preserve">in a </w:t>
            </w:r>
            <w:r w:rsidRPr="00444C61">
              <w:rPr>
                <w:color w:val="231F20"/>
                <w:spacing w:val="3"/>
                <w:sz w:val="19"/>
              </w:rPr>
              <w:t xml:space="preserve">circle, e.g. adult women, married women, adolescent girls, young children, males, </w:t>
            </w:r>
            <w:r w:rsidRPr="00444C61">
              <w:rPr>
                <w:color w:val="231F20"/>
                <w:spacing w:val="2"/>
                <w:sz w:val="19"/>
              </w:rPr>
              <w:t xml:space="preserve">sex </w:t>
            </w:r>
            <w:r w:rsidRPr="00444C61">
              <w:rPr>
                <w:color w:val="231F20"/>
                <w:spacing w:val="3"/>
                <w:sz w:val="19"/>
              </w:rPr>
              <w:t xml:space="preserve">workers, etc.,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draw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series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concentric circles around </w:t>
            </w:r>
            <w:r w:rsidRPr="00444C61">
              <w:rPr>
                <w:color w:val="231F20"/>
                <w:spacing w:val="4"/>
                <w:sz w:val="19"/>
              </w:rPr>
              <w:t>it.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5"/>
              </w:numPr>
              <w:tabs>
                <w:tab w:val="left" w:pos="799"/>
                <w:tab w:val="left" w:pos="800"/>
              </w:tabs>
              <w:spacing w:before="180" w:line="268" w:lineRule="auto"/>
              <w:ind w:right="63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To identify barriers faced by a particular group to </w:t>
            </w:r>
            <w:r w:rsidRPr="00444C61">
              <w:rPr>
                <w:b/>
                <w:color w:val="231F20"/>
                <w:sz w:val="19"/>
              </w:rPr>
              <w:t>a particular service, write the name of the service and the</w:t>
            </w:r>
            <w:r w:rsidRPr="00444C61">
              <w:rPr>
                <w:b/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b/>
                <w:color w:val="231F20"/>
                <w:sz w:val="19"/>
              </w:rPr>
              <w:t>name</w:t>
            </w:r>
            <w:r w:rsidRPr="00444C61">
              <w:rPr>
                <w:b/>
                <w:color w:val="231F20"/>
                <w:spacing w:val="-4"/>
                <w:sz w:val="19"/>
              </w:rPr>
              <w:t xml:space="preserve"> </w:t>
            </w:r>
            <w:r w:rsidRPr="00444C61">
              <w:rPr>
                <w:b/>
                <w:color w:val="231F20"/>
                <w:sz w:val="19"/>
              </w:rPr>
              <w:t>of</w:t>
            </w:r>
            <w:r w:rsidRPr="00444C61">
              <w:rPr>
                <w:b/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b/>
                <w:color w:val="231F20"/>
                <w:sz w:val="19"/>
              </w:rPr>
              <w:t>the</w:t>
            </w:r>
            <w:r w:rsidRPr="00444C61">
              <w:rPr>
                <w:b/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b/>
                <w:color w:val="231F20"/>
                <w:sz w:val="19"/>
              </w:rPr>
              <w:t>group</w:t>
            </w:r>
            <w:r w:rsidRPr="00444C61">
              <w:rPr>
                <w:b/>
                <w:color w:val="231F20"/>
                <w:spacing w:val="-4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in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circle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and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draw</w:t>
            </w:r>
            <w:r w:rsidRPr="00444C61">
              <w:rPr>
                <w:color w:val="231F20"/>
                <w:spacing w:val="-4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concentric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circles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around</w:t>
            </w:r>
            <w:r w:rsidRPr="00444C61">
              <w:rPr>
                <w:color w:val="231F20"/>
                <w:spacing w:val="-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them.</w:t>
            </w:r>
          </w:p>
        </w:tc>
      </w:tr>
    </w:tbl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rPr>
          <w:sz w:val="20"/>
        </w:rPr>
      </w:pPr>
    </w:p>
    <w:p w:rsidR="00B266BF" w:rsidRPr="00444C61" w:rsidRDefault="00B266BF" w:rsidP="00B266BF">
      <w:pPr>
        <w:pStyle w:val="BodyText"/>
        <w:spacing w:before="10"/>
        <w:rPr>
          <w:sz w:val="18"/>
        </w:rPr>
      </w:pPr>
      <w:r w:rsidRPr="00444C61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893A48F" wp14:editId="131CC4B7">
                <wp:simplePos x="0" y="0"/>
                <wp:positionH relativeFrom="page">
                  <wp:posOffset>453390</wp:posOffset>
                </wp:positionH>
                <wp:positionV relativeFrom="paragraph">
                  <wp:posOffset>193040</wp:posOffset>
                </wp:positionV>
                <wp:extent cx="914400" cy="0"/>
                <wp:effectExtent l="15240" t="14605" r="13335" b="13970"/>
                <wp:wrapTopAndBottom/>
                <wp:docPr id="7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2EBCE" id="Line 26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.7pt,15.2pt" to="107.7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" strokecolor="#231f20" strokeweight="1pt">
                <w10:wrap type="topAndBottom" anchorx="page"/>
              </v:line>
            </w:pict>
          </mc:Fallback>
        </mc:AlternateContent>
      </w:r>
    </w:p>
    <w:p w:rsidR="00B266BF" w:rsidRPr="00444C61" w:rsidRDefault="00B266BF" w:rsidP="00B266BF">
      <w:pPr>
        <w:pStyle w:val="ListParagraph"/>
        <w:numPr>
          <w:ilvl w:val="0"/>
          <w:numId w:val="6"/>
        </w:numPr>
        <w:tabs>
          <w:tab w:val="left" w:pos="725"/>
        </w:tabs>
        <w:spacing w:before="30"/>
        <w:rPr>
          <w:sz w:val="16"/>
        </w:rPr>
      </w:pPr>
      <w:r w:rsidRPr="00444C61">
        <w:rPr>
          <w:color w:val="231F20"/>
          <w:sz w:val="16"/>
        </w:rPr>
        <w:t>UNICEF.</w:t>
      </w:r>
      <w:r w:rsidRPr="00444C61">
        <w:rPr>
          <w:color w:val="231F20"/>
          <w:spacing w:val="-3"/>
          <w:sz w:val="16"/>
        </w:rPr>
        <w:t xml:space="preserve"> </w:t>
      </w:r>
      <w:r w:rsidRPr="00444C61">
        <w:rPr>
          <w:color w:val="231F20"/>
          <w:sz w:val="16"/>
        </w:rPr>
        <w:t>(2014).</w:t>
      </w:r>
      <w:r w:rsidRPr="00444C61">
        <w:rPr>
          <w:color w:val="231F20"/>
          <w:spacing w:val="-4"/>
          <w:sz w:val="16"/>
        </w:rPr>
        <w:t xml:space="preserve"> </w:t>
      </w:r>
      <w:r w:rsidRPr="00444C61">
        <w:rPr>
          <w:i/>
          <w:color w:val="231F20"/>
          <w:sz w:val="16"/>
        </w:rPr>
        <w:t>Communities</w:t>
      </w:r>
      <w:r w:rsidRPr="00444C61">
        <w:rPr>
          <w:i/>
          <w:color w:val="231F20"/>
          <w:spacing w:val="-4"/>
          <w:sz w:val="16"/>
        </w:rPr>
        <w:t xml:space="preserve"> </w:t>
      </w:r>
      <w:r w:rsidRPr="00444C61">
        <w:rPr>
          <w:i/>
          <w:color w:val="231F20"/>
          <w:sz w:val="16"/>
        </w:rPr>
        <w:t>Care</w:t>
      </w:r>
      <w:r w:rsidRPr="00444C61">
        <w:rPr>
          <w:i/>
          <w:color w:val="231F20"/>
          <w:spacing w:val="-4"/>
          <w:sz w:val="16"/>
        </w:rPr>
        <w:t xml:space="preserve"> </w:t>
      </w:r>
      <w:r w:rsidRPr="00444C61">
        <w:rPr>
          <w:i/>
          <w:color w:val="231F20"/>
          <w:sz w:val="16"/>
        </w:rPr>
        <w:t>Programme:</w:t>
      </w:r>
      <w:r w:rsidRPr="00444C61">
        <w:rPr>
          <w:i/>
          <w:color w:val="231F20"/>
          <w:spacing w:val="-3"/>
          <w:sz w:val="16"/>
        </w:rPr>
        <w:t xml:space="preserve"> </w:t>
      </w:r>
      <w:r w:rsidRPr="00444C61">
        <w:rPr>
          <w:i/>
          <w:color w:val="231F20"/>
          <w:sz w:val="16"/>
        </w:rPr>
        <w:t>Transforming</w:t>
      </w:r>
      <w:r w:rsidRPr="00444C61">
        <w:rPr>
          <w:i/>
          <w:color w:val="231F20"/>
          <w:spacing w:val="-4"/>
          <w:sz w:val="16"/>
        </w:rPr>
        <w:t xml:space="preserve"> </w:t>
      </w:r>
      <w:r w:rsidRPr="00444C61">
        <w:rPr>
          <w:i/>
          <w:color w:val="231F20"/>
          <w:sz w:val="16"/>
        </w:rPr>
        <w:t>Lives</w:t>
      </w:r>
      <w:r w:rsidRPr="00444C61">
        <w:rPr>
          <w:i/>
          <w:color w:val="231F20"/>
          <w:spacing w:val="-3"/>
          <w:sz w:val="16"/>
        </w:rPr>
        <w:t xml:space="preserve"> </w:t>
      </w:r>
      <w:r w:rsidRPr="00444C61">
        <w:rPr>
          <w:i/>
          <w:color w:val="231F20"/>
          <w:sz w:val="16"/>
        </w:rPr>
        <w:t>and</w:t>
      </w:r>
      <w:r w:rsidRPr="00444C61">
        <w:rPr>
          <w:i/>
          <w:color w:val="231F20"/>
          <w:spacing w:val="-3"/>
          <w:sz w:val="16"/>
        </w:rPr>
        <w:t xml:space="preserve"> </w:t>
      </w:r>
      <w:r w:rsidRPr="00444C61">
        <w:rPr>
          <w:i/>
          <w:color w:val="231F20"/>
          <w:sz w:val="16"/>
        </w:rPr>
        <w:t>Preventing</w:t>
      </w:r>
      <w:r w:rsidRPr="00444C61">
        <w:rPr>
          <w:i/>
          <w:color w:val="231F20"/>
          <w:spacing w:val="-3"/>
          <w:sz w:val="16"/>
        </w:rPr>
        <w:t xml:space="preserve"> </w:t>
      </w:r>
      <w:r w:rsidRPr="00444C61">
        <w:rPr>
          <w:i/>
          <w:color w:val="231F20"/>
          <w:sz w:val="16"/>
        </w:rPr>
        <w:t>Violence.</w:t>
      </w:r>
      <w:r w:rsidRPr="00444C61">
        <w:rPr>
          <w:i/>
          <w:color w:val="231F20"/>
          <w:spacing w:val="-4"/>
          <w:sz w:val="16"/>
        </w:rPr>
        <w:t xml:space="preserve"> </w:t>
      </w:r>
      <w:r w:rsidRPr="00444C61">
        <w:rPr>
          <w:color w:val="231F20"/>
          <w:sz w:val="16"/>
        </w:rPr>
        <w:t>UNICEF,</w:t>
      </w:r>
      <w:r w:rsidRPr="00444C61">
        <w:rPr>
          <w:color w:val="231F20"/>
          <w:spacing w:val="-3"/>
          <w:sz w:val="16"/>
        </w:rPr>
        <w:t xml:space="preserve"> </w:t>
      </w:r>
      <w:r w:rsidRPr="00444C61">
        <w:rPr>
          <w:color w:val="231F20"/>
          <w:sz w:val="16"/>
        </w:rPr>
        <w:t>New</w:t>
      </w:r>
      <w:r w:rsidRPr="00444C61">
        <w:rPr>
          <w:color w:val="231F20"/>
          <w:spacing w:val="-3"/>
          <w:sz w:val="16"/>
        </w:rPr>
        <w:t xml:space="preserve"> </w:t>
      </w:r>
      <w:r w:rsidRPr="00444C61">
        <w:rPr>
          <w:color w:val="231F20"/>
          <w:sz w:val="16"/>
        </w:rPr>
        <w:t>York.</w:t>
      </w:r>
    </w:p>
    <w:p w:rsidR="00B266BF" w:rsidRPr="00444C61" w:rsidRDefault="00B266BF" w:rsidP="00B266BF">
      <w:pPr>
        <w:rPr>
          <w:sz w:val="16"/>
        </w:rPr>
        <w:sectPr w:rsidR="00B266BF" w:rsidRPr="00444C61">
          <w:pgSz w:w="12240" w:h="15840"/>
          <w:pgMar w:top="600" w:right="580" w:bottom="460" w:left="440" w:header="0" w:footer="262" w:gutter="0"/>
          <w:cols w:space="720"/>
        </w:sectPr>
      </w:pPr>
    </w:p>
    <w:tbl>
      <w:tblPr>
        <w:tblW w:w="0" w:type="auto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B266BF" w:rsidRPr="00444C61" w:rsidTr="007B46BF">
        <w:trPr>
          <w:trHeight w:hRule="exact" w:val="740"/>
        </w:trPr>
        <w:tc>
          <w:tcPr>
            <w:tcW w:w="10780" w:type="dxa"/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8"/>
              <w:rPr>
                <w:sz w:val="17"/>
              </w:rPr>
            </w:pPr>
          </w:p>
          <w:p w:rsidR="00B266BF" w:rsidRPr="00444C61" w:rsidRDefault="00B266BF" w:rsidP="007B46BF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Step 3. Ask ‘why’.</w:t>
            </w:r>
          </w:p>
        </w:tc>
      </w:tr>
      <w:tr w:rsidR="00B266BF" w:rsidRPr="00444C61" w:rsidTr="007B46BF">
        <w:trPr>
          <w:trHeight w:hRule="exact" w:val="2850"/>
        </w:trPr>
        <w:tc>
          <w:tcPr>
            <w:tcW w:w="10780" w:type="dxa"/>
            <w:tcBorders>
              <w:left w:val="single" w:sz="8" w:space="0" w:color="0994BB"/>
              <w:bottom w:val="single" w:sz="8" w:space="0" w:color="0994BB"/>
              <w:right w:val="single" w:sz="8" w:space="0" w:color="0994BB"/>
            </w:tcBorders>
          </w:tcPr>
          <w:p w:rsidR="00B266BF" w:rsidRPr="00444C61" w:rsidRDefault="00B266BF" w:rsidP="007B46BF">
            <w:pPr>
              <w:pStyle w:val="TableParagraph"/>
              <w:spacing w:before="6"/>
              <w:rPr>
                <w:sz w:val="21"/>
              </w:rPr>
            </w:pP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4"/>
              </w:numPr>
              <w:tabs>
                <w:tab w:val="left" w:pos="799"/>
                <w:tab w:val="left" w:pos="800"/>
              </w:tabs>
              <w:spacing w:line="268" w:lineRule="auto"/>
              <w:ind w:right="48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If you put the name of a service in the centre circle, ask participants why survivors don’t use the service and write the answers in the second</w:t>
            </w:r>
            <w:r w:rsidRPr="00444C61">
              <w:rPr>
                <w:color w:val="231F20"/>
                <w:spacing w:val="-14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circle.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4"/>
              </w:numPr>
              <w:tabs>
                <w:tab w:val="left" w:pos="800"/>
              </w:tabs>
              <w:spacing w:before="180" w:line="268" w:lineRule="auto"/>
              <w:ind w:right="80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2"/>
                <w:sz w:val="19"/>
              </w:rPr>
              <w:t xml:space="preserve">you put the </w:t>
            </w:r>
            <w:r w:rsidRPr="00444C61">
              <w:rPr>
                <w:color w:val="231F20"/>
                <w:spacing w:val="3"/>
                <w:sz w:val="19"/>
              </w:rPr>
              <w:t xml:space="preserve">name </w:t>
            </w:r>
            <w:r w:rsidRPr="00444C61">
              <w:rPr>
                <w:color w:val="231F20"/>
                <w:sz w:val="19"/>
              </w:rPr>
              <w:t xml:space="preserve">of a </w:t>
            </w:r>
            <w:r w:rsidRPr="00444C61">
              <w:rPr>
                <w:color w:val="231F20"/>
                <w:spacing w:val="3"/>
                <w:sz w:val="19"/>
              </w:rPr>
              <w:t xml:space="preserve">particular group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survivors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centre circle, </w:t>
            </w:r>
            <w:r w:rsidRPr="00444C61">
              <w:rPr>
                <w:color w:val="231F20"/>
                <w:spacing w:val="2"/>
                <w:sz w:val="19"/>
              </w:rPr>
              <w:t xml:space="preserve">ask </w:t>
            </w:r>
            <w:r w:rsidRPr="00444C61">
              <w:rPr>
                <w:color w:val="231F20"/>
                <w:spacing w:val="3"/>
                <w:sz w:val="19"/>
              </w:rPr>
              <w:t xml:space="preserve">participants </w:t>
            </w:r>
            <w:r w:rsidRPr="00444C61">
              <w:rPr>
                <w:color w:val="231F20"/>
                <w:spacing w:val="2"/>
                <w:sz w:val="19"/>
              </w:rPr>
              <w:t xml:space="preserve">why </w:t>
            </w:r>
            <w:r w:rsidRPr="00444C61">
              <w:rPr>
                <w:color w:val="231F20"/>
                <w:spacing w:val="4"/>
                <w:sz w:val="19"/>
              </w:rPr>
              <w:t xml:space="preserve">that </w:t>
            </w:r>
            <w:r w:rsidRPr="00444C61">
              <w:rPr>
                <w:color w:val="231F20"/>
                <w:spacing w:val="3"/>
                <w:sz w:val="19"/>
              </w:rPr>
              <w:t xml:space="preserve">group doesn’t access services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write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answers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second </w:t>
            </w:r>
            <w:r w:rsidRPr="00444C61">
              <w:rPr>
                <w:color w:val="231F20"/>
                <w:spacing w:val="4"/>
                <w:sz w:val="19"/>
              </w:rPr>
              <w:t>circle.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4"/>
              </w:numPr>
              <w:tabs>
                <w:tab w:val="left" w:pos="799"/>
                <w:tab w:val="left" w:pos="800"/>
              </w:tabs>
              <w:spacing w:before="180" w:line="268" w:lineRule="auto"/>
              <w:ind w:right="51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If you put the name of a service and particular group in the centre circle, ask why that group doesn’t access that service and write the answers in the second</w:t>
            </w:r>
            <w:r w:rsidRPr="00444C61">
              <w:rPr>
                <w:color w:val="231F20"/>
                <w:spacing w:val="-16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circle.</w:t>
            </w:r>
          </w:p>
        </w:tc>
      </w:tr>
      <w:tr w:rsidR="00B266BF" w:rsidRPr="00444C61" w:rsidTr="007B46BF">
        <w:trPr>
          <w:trHeight w:hRule="exact" w:val="750"/>
        </w:trPr>
        <w:tc>
          <w:tcPr>
            <w:tcW w:w="10780" w:type="dxa"/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4"/>
              <w:rPr>
                <w:sz w:val="18"/>
              </w:rPr>
            </w:pPr>
          </w:p>
          <w:p w:rsidR="00B266BF" w:rsidRPr="00444C61" w:rsidRDefault="00B266BF" w:rsidP="007B46BF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Step 4. Probe and get more information.</w:t>
            </w:r>
          </w:p>
        </w:tc>
      </w:tr>
      <w:tr w:rsidR="00B266BF" w:rsidRPr="00444C61" w:rsidTr="007B46BF">
        <w:trPr>
          <w:trHeight w:hRule="exact" w:val="2165"/>
        </w:trPr>
        <w:tc>
          <w:tcPr>
            <w:tcW w:w="10780" w:type="dxa"/>
            <w:tcBorders>
              <w:left w:val="single" w:sz="8" w:space="0" w:color="0994BB"/>
              <w:right w:val="single" w:sz="8" w:space="0" w:color="0994BB"/>
            </w:tcBorders>
          </w:tcPr>
          <w:p w:rsidR="00B266BF" w:rsidRPr="00444C61" w:rsidRDefault="00B266BF" w:rsidP="007B46BF">
            <w:pPr>
              <w:pStyle w:val="TableParagraph"/>
              <w:spacing w:before="6"/>
              <w:rPr>
                <w:sz w:val="21"/>
              </w:rPr>
            </w:pP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3"/>
              </w:numPr>
              <w:tabs>
                <w:tab w:val="left" w:pos="799"/>
                <w:tab w:val="left" w:pos="800"/>
              </w:tabs>
              <w:spacing w:line="268" w:lineRule="auto"/>
              <w:ind w:right="56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For each factor or barrier identified in Step 2, probe further to understand why the barrier exists and write the corresponding answers in the next</w:t>
            </w:r>
            <w:r w:rsidRPr="00444C61">
              <w:rPr>
                <w:color w:val="231F20"/>
                <w:spacing w:val="-26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circle.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3"/>
              </w:numPr>
              <w:tabs>
                <w:tab w:val="left" w:pos="800"/>
              </w:tabs>
              <w:spacing w:before="18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Continue this process until </w:t>
            </w:r>
            <w:r w:rsidRPr="00444C61">
              <w:rPr>
                <w:color w:val="231F20"/>
                <w:spacing w:val="2"/>
                <w:sz w:val="19"/>
              </w:rPr>
              <w:t xml:space="preserve">all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barriers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>reasons from them have been</w:t>
            </w:r>
            <w:r w:rsidRPr="00444C61">
              <w:rPr>
                <w:color w:val="231F20"/>
                <w:spacing w:val="1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identified.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3"/>
              </w:numPr>
              <w:tabs>
                <w:tab w:val="left" w:pos="799"/>
                <w:tab w:val="left" w:pos="800"/>
              </w:tabs>
              <w:spacing w:before="21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Make a list of everything identified.</w:t>
            </w:r>
          </w:p>
        </w:tc>
      </w:tr>
      <w:tr w:rsidR="00B266BF" w:rsidRPr="00444C61" w:rsidTr="007B46BF">
        <w:trPr>
          <w:trHeight w:hRule="exact" w:val="757"/>
        </w:trPr>
        <w:tc>
          <w:tcPr>
            <w:tcW w:w="10780" w:type="dxa"/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11"/>
              <w:rPr>
                <w:sz w:val="18"/>
              </w:rPr>
            </w:pPr>
          </w:p>
          <w:p w:rsidR="00B266BF" w:rsidRPr="00444C61" w:rsidRDefault="00B266BF" w:rsidP="007B46BF">
            <w:pPr>
              <w:pStyle w:val="TableParagraph"/>
              <w:spacing w:before="1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Step 5. Develop a plan for addressing each gap.</w:t>
            </w:r>
          </w:p>
        </w:tc>
      </w:tr>
      <w:tr w:rsidR="00B266BF" w:rsidRPr="00444C61" w:rsidTr="007B46BF">
        <w:trPr>
          <w:trHeight w:hRule="exact" w:val="2831"/>
        </w:trPr>
        <w:tc>
          <w:tcPr>
            <w:tcW w:w="10780" w:type="dxa"/>
            <w:tcBorders>
              <w:left w:val="single" w:sz="8" w:space="0" w:color="0994BB"/>
              <w:right w:val="single" w:sz="8" w:space="0" w:color="0994BB"/>
            </w:tcBorders>
          </w:tcPr>
          <w:p w:rsidR="00B266BF" w:rsidRPr="00444C61" w:rsidRDefault="00B266BF" w:rsidP="007B46BF">
            <w:pPr>
              <w:pStyle w:val="TableParagraph"/>
              <w:spacing w:before="6"/>
              <w:rPr>
                <w:sz w:val="21"/>
              </w:rPr>
            </w:pP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2"/>
              </w:numPr>
              <w:tabs>
                <w:tab w:val="left" w:pos="799"/>
                <w:tab w:val="left" w:pos="800"/>
              </w:tabs>
              <w:spacing w:line="268" w:lineRule="auto"/>
              <w:ind w:right="7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Go through the list of barriers one by one and have participants discuss and explore potential strategies and actions for reducing or eliminating each</w:t>
            </w:r>
            <w:r w:rsidRPr="00444C61">
              <w:rPr>
                <w:color w:val="231F20"/>
                <w:spacing w:val="-16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barrier.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2"/>
              </w:numPr>
              <w:tabs>
                <w:tab w:val="left" w:pos="800"/>
              </w:tabs>
              <w:spacing w:before="180" w:line="268" w:lineRule="auto"/>
              <w:ind w:right="684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Ask </w:t>
            </w:r>
            <w:r w:rsidRPr="00444C61">
              <w:rPr>
                <w:color w:val="231F20"/>
                <w:spacing w:val="3"/>
                <w:sz w:val="19"/>
              </w:rPr>
              <w:t xml:space="preserve">participants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decide which actions </w:t>
            </w:r>
            <w:r w:rsidRPr="00444C61">
              <w:rPr>
                <w:color w:val="231F20"/>
                <w:spacing w:val="2"/>
                <w:sz w:val="19"/>
              </w:rPr>
              <w:t xml:space="preserve">are </w:t>
            </w:r>
            <w:r w:rsidRPr="00444C61">
              <w:rPr>
                <w:color w:val="231F20"/>
                <w:spacing w:val="3"/>
                <w:sz w:val="19"/>
              </w:rPr>
              <w:t xml:space="preserve">high priority, </w:t>
            </w:r>
            <w:r w:rsidRPr="00444C61">
              <w:rPr>
                <w:color w:val="231F20"/>
                <w:spacing w:val="2"/>
                <w:sz w:val="19"/>
              </w:rPr>
              <w:t xml:space="preserve">who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responsible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 xml:space="preserve">them </w:t>
            </w:r>
            <w:r w:rsidRPr="00444C61">
              <w:rPr>
                <w:color w:val="231F20"/>
                <w:spacing w:val="2"/>
                <w:sz w:val="19"/>
              </w:rPr>
              <w:t xml:space="preserve">and the </w:t>
            </w:r>
            <w:r w:rsidRPr="00444C61">
              <w:rPr>
                <w:color w:val="231F20"/>
                <w:spacing w:val="3"/>
                <w:sz w:val="19"/>
              </w:rPr>
              <w:t xml:space="preserve">time- frame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>addressing</w:t>
            </w:r>
            <w:r w:rsidRPr="00444C61">
              <w:rPr>
                <w:color w:val="231F20"/>
                <w:spacing w:val="3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them.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2"/>
              </w:numPr>
              <w:tabs>
                <w:tab w:val="left" w:pos="799"/>
                <w:tab w:val="left" w:pos="800"/>
              </w:tabs>
              <w:spacing w:before="180" w:line="268" w:lineRule="auto"/>
              <w:ind w:right="683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Participants may not be able to identify all the solutions for all the barriers. You may need to consult with others before finalizing the action plan.</w:t>
            </w:r>
          </w:p>
        </w:tc>
      </w:tr>
      <w:tr w:rsidR="00B266BF" w:rsidRPr="00444C61" w:rsidTr="007B46BF">
        <w:trPr>
          <w:trHeight w:hRule="exact" w:val="740"/>
        </w:trPr>
        <w:tc>
          <w:tcPr>
            <w:tcW w:w="10780" w:type="dxa"/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8"/>
              <w:rPr>
                <w:sz w:val="17"/>
              </w:rPr>
            </w:pPr>
          </w:p>
          <w:p w:rsidR="00B266BF" w:rsidRPr="00444C61" w:rsidRDefault="00B266BF" w:rsidP="007B46BF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Step 6. Document, implement and review the action plan for addressing barriers.</w:t>
            </w:r>
          </w:p>
        </w:tc>
      </w:tr>
      <w:tr w:rsidR="00B266BF" w:rsidRPr="00444C61" w:rsidTr="007B46BF">
        <w:trPr>
          <w:trHeight w:hRule="exact" w:val="2533"/>
        </w:trPr>
        <w:tc>
          <w:tcPr>
            <w:tcW w:w="10780" w:type="dxa"/>
            <w:tcBorders>
              <w:left w:val="single" w:sz="8" w:space="0" w:color="0994BB"/>
              <w:bottom w:val="single" w:sz="8" w:space="0" w:color="0994BB"/>
              <w:right w:val="single" w:sz="8" w:space="0" w:color="0994BB"/>
            </w:tcBorders>
          </w:tcPr>
          <w:p w:rsidR="00B266BF" w:rsidRPr="00444C61" w:rsidRDefault="00B266BF" w:rsidP="007B46BF">
            <w:pPr>
              <w:pStyle w:val="TableParagraph"/>
              <w:spacing w:before="6"/>
              <w:rPr>
                <w:sz w:val="21"/>
              </w:rPr>
            </w:pP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1"/>
              </w:numPr>
              <w:tabs>
                <w:tab w:val="left" w:pos="799"/>
                <w:tab w:val="left" w:pos="800"/>
              </w:tabs>
              <w:spacing w:line="268" w:lineRule="auto"/>
              <w:ind w:right="855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Using Part B: Action Plan for Addressing Barriers, document the action plan and distribute it to</w:t>
            </w:r>
            <w:r w:rsidRPr="00444C61">
              <w:rPr>
                <w:color w:val="231F20"/>
                <w:spacing w:val="-2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relevant stakeholders.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1"/>
              </w:numPr>
              <w:tabs>
                <w:tab w:val="left" w:pos="800"/>
              </w:tabs>
              <w:spacing w:before="18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Start implementing</w:t>
            </w:r>
            <w:r w:rsidRPr="00444C61">
              <w:rPr>
                <w:color w:val="231F20"/>
                <w:spacing w:val="23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it!</w:t>
            </w:r>
          </w:p>
          <w:p w:rsidR="00B266BF" w:rsidRPr="00444C61" w:rsidRDefault="00B266BF" w:rsidP="00B266BF">
            <w:pPr>
              <w:pStyle w:val="TableParagraph"/>
              <w:numPr>
                <w:ilvl w:val="0"/>
                <w:numId w:val="1"/>
              </w:numPr>
              <w:tabs>
                <w:tab w:val="left" w:pos="799"/>
                <w:tab w:val="left" w:pos="800"/>
              </w:tabs>
              <w:spacing w:before="211" w:line="268" w:lineRule="auto"/>
              <w:ind w:right="79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Organize a review meeting to follow up on progress in implementing the plan and make adjustments as needed. You can use Part B again to review and monitor progress towards addressing </w:t>
            </w:r>
            <w:r w:rsidRPr="00444C61">
              <w:rPr>
                <w:color w:val="231F20"/>
                <w:spacing w:val="-3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gaps.</w:t>
            </w:r>
          </w:p>
        </w:tc>
      </w:tr>
    </w:tbl>
    <w:p w:rsidR="00B266BF" w:rsidRPr="00444C61" w:rsidRDefault="00B266BF" w:rsidP="00B266BF">
      <w:pPr>
        <w:spacing w:line="268" w:lineRule="auto"/>
        <w:rPr>
          <w:sz w:val="19"/>
        </w:rPr>
        <w:sectPr w:rsidR="00B266BF" w:rsidRPr="00444C61">
          <w:pgSz w:w="12240" w:h="15840"/>
          <w:pgMar w:top="720" w:right="440" w:bottom="460" w:left="620" w:header="0" w:footer="26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4320"/>
        <w:gridCol w:w="2160"/>
        <w:gridCol w:w="2160"/>
      </w:tblGrid>
      <w:tr w:rsidR="00B266BF" w:rsidRPr="00444C61" w:rsidTr="007B46BF">
        <w:trPr>
          <w:trHeight w:hRule="exact" w:val="1370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B266BF" w:rsidRPr="00444C61" w:rsidRDefault="00B266BF" w:rsidP="007B46BF">
            <w:pPr>
              <w:pStyle w:val="TableParagraph"/>
              <w:spacing w:before="8"/>
              <w:rPr>
                <w:sz w:val="26"/>
              </w:rPr>
            </w:pPr>
          </w:p>
          <w:p w:rsidR="00B266BF" w:rsidRPr="00444C61" w:rsidRDefault="00B266BF" w:rsidP="007B46BF">
            <w:pPr>
              <w:pStyle w:val="TableParagraph"/>
              <w:spacing w:line="324" w:lineRule="auto"/>
              <w:ind w:left="3877" w:right="778" w:hanging="2544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pacing w:val="9"/>
                <w:sz w:val="26"/>
              </w:rPr>
              <w:t xml:space="preserve">PART </w:t>
            </w:r>
            <w:r w:rsidRPr="00444C61">
              <w:rPr>
                <w:b/>
                <w:bCs/>
                <w:color w:val="FFFFFF"/>
                <w:spacing w:val="11"/>
                <w:sz w:val="26"/>
              </w:rPr>
              <w:t xml:space="preserve">B: </w:t>
            </w:r>
            <w:r w:rsidRPr="00444C61">
              <w:rPr>
                <w:b/>
                <w:bCs/>
                <w:color w:val="FFFFFF"/>
                <w:spacing w:val="14"/>
                <w:sz w:val="26"/>
              </w:rPr>
              <w:t xml:space="preserve">ACTION </w:t>
            </w:r>
            <w:r w:rsidRPr="00444C61">
              <w:rPr>
                <w:b/>
                <w:bCs/>
                <w:color w:val="FFFFFF"/>
                <w:spacing w:val="17"/>
                <w:sz w:val="26"/>
              </w:rPr>
              <w:t xml:space="preserve">PLAN </w:t>
            </w:r>
            <w:r w:rsidRPr="00444C61">
              <w:rPr>
                <w:b/>
                <w:bCs/>
                <w:color w:val="FFFFFF"/>
                <w:spacing w:val="13"/>
                <w:sz w:val="26"/>
              </w:rPr>
              <w:t xml:space="preserve">FOR </w:t>
            </w:r>
            <w:r w:rsidRPr="00444C61">
              <w:rPr>
                <w:b/>
                <w:bCs/>
                <w:color w:val="FFFFFF"/>
                <w:spacing w:val="19"/>
                <w:sz w:val="26"/>
              </w:rPr>
              <w:t xml:space="preserve">ADDRESSING BARRIERS </w:t>
            </w:r>
            <w:r w:rsidRPr="00444C61">
              <w:rPr>
                <w:b/>
                <w:bCs/>
                <w:color w:val="FFFFFF"/>
                <w:spacing w:val="7"/>
                <w:sz w:val="26"/>
              </w:rPr>
              <w:t xml:space="preserve">TO </w:t>
            </w:r>
            <w:r w:rsidRPr="00444C61">
              <w:rPr>
                <w:b/>
                <w:bCs/>
                <w:color w:val="FFFFFF"/>
                <w:spacing w:val="17"/>
                <w:sz w:val="26"/>
              </w:rPr>
              <w:t xml:space="preserve">CARE </w:t>
            </w:r>
            <w:r w:rsidRPr="00444C61">
              <w:rPr>
                <w:b/>
                <w:bCs/>
                <w:color w:val="FFFFFF"/>
                <w:spacing w:val="15"/>
                <w:sz w:val="26"/>
              </w:rPr>
              <w:t>AND</w:t>
            </w:r>
            <w:r w:rsidRPr="00444C61">
              <w:rPr>
                <w:b/>
                <w:bCs/>
                <w:color w:val="FFFFFF"/>
                <w:spacing w:val="78"/>
                <w:sz w:val="26"/>
              </w:rPr>
              <w:t xml:space="preserve"> </w:t>
            </w:r>
            <w:r w:rsidRPr="00444C61">
              <w:rPr>
                <w:b/>
                <w:bCs/>
                <w:color w:val="FFFFFF"/>
                <w:spacing w:val="16"/>
                <w:sz w:val="26"/>
              </w:rPr>
              <w:t>SUPPORT</w:t>
            </w:r>
          </w:p>
        </w:tc>
      </w:tr>
      <w:tr w:rsidR="00B266BF" w:rsidRPr="00444C61" w:rsidTr="007B46BF">
        <w:trPr>
          <w:trHeight w:hRule="exact" w:val="800"/>
        </w:trPr>
        <w:tc>
          <w:tcPr>
            <w:tcW w:w="2160" w:type="dxa"/>
            <w:tcBorders>
              <w:top w:val="nil"/>
            </w:tcBorders>
          </w:tcPr>
          <w:p w:rsidR="00B266BF" w:rsidRPr="00444C61" w:rsidRDefault="00B266BF" w:rsidP="007B46BF">
            <w:pPr>
              <w:pStyle w:val="TableParagraph"/>
              <w:spacing w:before="5"/>
              <w:rPr>
                <w:sz w:val="19"/>
              </w:rPr>
            </w:pPr>
          </w:p>
          <w:p w:rsidR="00B266BF" w:rsidRPr="00444C61" w:rsidRDefault="00B266BF" w:rsidP="007B46BF">
            <w:pPr>
              <w:pStyle w:val="TableParagraph"/>
              <w:spacing w:before="1"/>
              <w:ind w:left="730" w:right="726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Barrier</w:t>
            </w:r>
          </w:p>
        </w:tc>
        <w:tc>
          <w:tcPr>
            <w:tcW w:w="4320" w:type="dxa"/>
            <w:tcBorders>
              <w:top w:val="nil"/>
            </w:tcBorders>
          </w:tcPr>
          <w:p w:rsidR="00B266BF" w:rsidRPr="00444C61" w:rsidRDefault="00B266BF" w:rsidP="007B46BF">
            <w:pPr>
              <w:pStyle w:val="TableParagraph"/>
              <w:spacing w:before="124" w:line="259" w:lineRule="auto"/>
              <w:ind w:left="1645" w:right="457" w:hanging="962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Possible strategies for reducing the barrier</w:t>
            </w:r>
          </w:p>
        </w:tc>
        <w:tc>
          <w:tcPr>
            <w:tcW w:w="2160" w:type="dxa"/>
            <w:tcBorders>
              <w:top w:val="nil"/>
            </w:tcBorders>
          </w:tcPr>
          <w:p w:rsidR="00B266BF" w:rsidRPr="00444C61" w:rsidRDefault="00B266BF" w:rsidP="007B46BF">
            <w:pPr>
              <w:pStyle w:val="TableParagraph"/>
              <w:spacing w:before="5"/>
              <w:rPr>
                <w:sz w:val="19"/>
              </w:rPr>
            </w:pPr>
          </w:p>
          <w:p w:rsidR="00B266BF" w:rsidRPr="00444C61" w:rsidRDefault="00B266BF" w:rsidP="007B46BF">
            <w:pPr>
              <w:pStyle w:val="TableParagraph"/>
              <w:spacing w:before="1"/>
              <w:ind w:left="730" w:right="726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Who</w:t>
            </w:r>
          </w:p>
        </w:tc>
        <w:tc>
          <w:tcPr>
            <w:tcW w:w="2160" w:type="dxa"/>
            <w:tcBorders>
              <w:top w:val="nil"/>
            </w:tcBorders>
          </w:tcPr>
          <w:p w:rsidR="00B266BF" w:rsidRPr="00444C61" w:rsidRDefault="00B266BF" w:rsidP="007B46BF">
            <w:pPr>
              <w:pStyle w:val="TableParagraph"/>
              <w:spacing w:before="5"/>
              <w:rPr>
                <w:sz w:val="19"/>
              </w:rPr>
            </w:pPr>
          </w:p>
          <w:p w:rsidR="00B266BF" w:rsidRPr="00444C61" w:rsidRDefault="00B266BF" w:rsidP="007B46BF">
            <w:pPr>
              <w:pStyle w:val="TableParagraph"/>
              <w:spacing w:before="1"/>
              <w:ind w:left="730" w:right="726"/>
              <w:jc w:val="center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When</w:t>
            </w:r>
          </w:p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  <w:tr w:rsidR="00B266BF" w:rsidRPr="00444C61" w:rsidTr="007B46BF">
        <w:trPr>
          <w:trHeight w:hRule="exact" w:val="684"/>
        </w:trPr>
        <w:tc>
          <w:tcPr>
            <w:tcW w:w="2160" w:type="dxa"/>
          </w:tcPr>
          <w:p w:rsidR="00B266BF" w:rsidRPr="00444C61" w:rsidRDefault="00B266BF" w:rsidP="007B46BF"/>
        </w:tc>
        <w:tc>
          <w:tcPr>
            <w:tcW w:w="432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  <w:tc>
          <w:tcPr>
            <w:tcW w:w="2160" w:type="dxa"/>
          </w:tcPr>
          <w:p w:rsidR="00B266BF" w:rsidRPr="00444C61" w:rsidRDefault="00B266BF" w:rsidP="007B46BF"/>
        </w:tc>
      </w:tr>
    </w:tbl>
    <w:p w:rsidR="00B266BF" w:rsidRPr="00444C61" w:rsidRDefault="00B266BF" w:rsidP="00B266BF">
      <w:pPr>
        <w:sectPr w:rsidR="00B266BF" w:rsidRPr="00444C61">
          <w:pgSz w:w="12240" w:h="15840"/>
          <w:pgMar w:top="720" w:right="580" w:bottom="460" w:left="440" w:header="0" w:footer="262" w:gutter="0"/>
          <w:cols w:space="720"/>
        </w:sectPr>
      </w:pPr>
      <w:bookmarkStart w:id="0" w:name="_GoBack"/>
      <w:bookmarkEnd w:id="0"/>
    </w:p>
    <w:p w:rsidR="009D3197" w:rsidRDefault="00B266BF"/>
    <w:sectPr w:rsidR="009D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ans-Light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a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A006D"/>
    <w:multiLevelType w:val="hybridMultilevel"/>
    <w:tmpl w:val="E6C21FC2"/>
    <w:lvl w:ilvl="0" w:tplc="D7F8FB04">
      <w:start w:val="67"/>
      <w:numFmt w:val="decimal"/>
      <w:lvlText w:val="%1"/>
      <w:lvlJc w:val="left"/>
      <w:pPr>
        <w:ind w:left="724" w:hanging="270"/>
        <w:jc w:val="left"/>
      </w:pPr>
      <w:rPr>
        <w:rFonts w:ascii="OpenSans-Light" w:eastAsia="OpenSans-Light" w:hAnsi="OpenSans-Light" w:cs="OpenSans-Light" w:hint="default"/>
        <w:color w:val="231F20"/>
        <w:spacing w:val="-1"/>
        <w:w w:val="100"/>
        <w:sz w:val="16"/>
        <w:szCs w:val="16"/>
      </w:rPr>
    </w:lvl>
    <w:lvl w:ilvl="1" w:tplc="948C368C">
      <w:numFmt w:val="bullet"/>
      <w:lvlText w:val="•"/>
      <w:lvlJc w:val="left"/>
      <w:pPr>
        <w:ind w:left="1770" w:hanging="270"/>
      </w:pPr>
      <w:rPr>
        <w:rFonts w:hint="default"/>
      </w:rPr>
    </w:lvl>
    <w:lvl w:ilvl="2" w:tplc="E26AA16C">
      <w:numFmt w:val="bullet"/>
      <w:lvlText w:val="•"/>
      <w:lvlJc w:val="left"/>
      <w:pPr>
        <w:ind w:left="2820" w:hanging="270"/>
      </w:pPr>
      <w:rPr>
        <w:rFonts w:hint="default"/>
      </w:rPr>
    </w:lvl>
    <w:lvl w:ilvl="3" w:tplc="30549050">
      <w:numFmt w:val="bullet"/>
      <w:lvlText w:val="•"/>
      <w:lvlJc w:val="left"/>
      <w:pPr>
        <w:ind w:left="3870" w:hanging="270"/>
      </w:pPr>
      <w:rPr>
        <w:rFonts w:hint="default"/>
      </w:rPr>
    </w:lvl>
    <w:lvl w:ilvl="4" w:tplc="EC2AB356">
      <w:numFmt w:val="bullet"/>
      <w:lvlText w:val="•"/>
      <w:lvlJc w:val="left"/>
      <w:pPr>
        <w:ind w:left="4920" w:hanging="270"/>
      </w:pPr>
      <w:rPr>
        <w:rFonts w:hint="default"/>
      </w:rPr>
    </w:lvl>
    <w:lvl w:ilvl="5" w:tplc="99B08B32">
      <w:numFmt w:val="bullet"/>
      <w:lvlText w:val="•"/>
      <w:lvlJc w:val="left"/>
      <w:pPr>
        <w:ind w:left="5970" w:hanging="270"/>
      </w:pPr>
      <w:rPr>
        <w:rFonts w:hint="default"/>
      </w:rPr>
    </w:lvl>
    <w:lvl w:ilvl="6" w:tplc="6FE88C8A">
      <w:numFmt w:val="bullet"/>
      <w:lvlText w:val="•"/>
      <w:lvlJc w:val="left"/>
      <w:pPr>
        <w:ind w:left="7020" w:hanging="270"/>
      </w:pPr>
      <w:rPr>
        <w:rFonts w:hint="default"/>
      </w:rPr>
    </w:lvl>
    <w:lvl w:ilvl="7" w:tplc="21644AC0">
      <w:numFmt w:val="bullet"/>
      <w:lvlText w:val="•"/>
      <w:lvlJc w:val="left"/>
      <w:pPr>
        <w:ind w:left="8070" w:hanging="270"/>
      </w:pPr>
      <w:rPr>
        <w:rFonts w:hint="default"/>
      </w:rPr>
    </w:lvl>
    <w:lvl w:ilvl="8" w:tplc="05C828B8">
      <w:numFmt w:val="bullet"/>
      <w:lvlText w:val="•"/>
      <w:lvlJc w:val="left"/>
      <w:pPr>
        <w:ind w:left="9120" w:hanging="270"/>
      </w:pPr>
      <w:rPr>
        <w:rFonts w:hint="default"/>
      </w:rPr>
    </w:lvl>
  </w:abstractNum>
  <w:abstractNum w:abstractNumId="1" w15:restartNumberingAfterBreak="0">
    <w:nsid w:val="10BF105D"/>
    <w:multiLevelType w:val="hybridMultilevel"/>
    <w:tmpl w:val="05B42522"/>
    <w:lvl w:ilvl="0" w:tplc="D7D0C176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453800AA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C906957C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513E528C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1E7E269C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BAACEBDC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E8C69E50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CBAABC8E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05A0307E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2" w15:restartNumberingAfterBreak="0">
    <w:nsid w:val="4C202CC9"/>
    <w:multiLevelType w:val="hybridMultilevel"/>
    <w:tmpl w:val="88ACC3D2"/>
    <w:lvl w:ilvl="0" w:tplc="E6169A8A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0E30C998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417EEE96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8014DF5C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584CDB3C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2CE83A5E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924E5682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4664DBEA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554A7C80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3" w15:restartNumberingAfterBreak="0">
    <w:nsid w:val="5D8D342C"/>
    <w:multiLevelType w:val="hybridMultilevel"/>
    <w:tmpl w:val="7FBCE372"/>
    <w:lvl w:ilvl="0" w:tplc="128AAA26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F83227D4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7138F4D0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5C4E9FB2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1F848E40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B6FC84B6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D0749F68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C82CE6A8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75FCDB22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4" w15:restartNumberingAfterBreak="0">
    <w:nsid w:val="5E715BFA"/>
    <w:multiLevelType w:val="hybridMultilevel"/>
    <w:tmpl w:val="999EEC12"/>
    <w:lvl w:ilvl="0" w:tplc="35D6BE60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99"/>
        <w:sz w:val="19"/>
        <w:szCs w:val="19"/>
      </w:rPr>
    </w:lvl>
    <w:lvl w:ilvl="1" w:tplc="0B3E8BB4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DE481196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E9DE9B84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89A880EA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1932D71C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D1684066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DCB84190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AD16D64C">
      <w:numFmt w:val="bullet"/>
      <w:lvlText w:val="•"/>
      <w:lvlJc w:val="left"/>
      <w:pPr>
        <w:ind w:left="8768" w:hanging="360"/>
      </w:pPr>
      <w:rPr>
        <w:rFonts w:hint="default"/>
      </w:rPr>
    </w:lvl>
  </w:abstractNum>
  <w:abstractNum w:abstractNumId="5" w15:restartNumberingAfterBreak="0">
    <w:nsid w:val="6BB84CE3"/>
    <w:multiLevelType w:val="hybridMultilevel"/>
    <w:tmpl w:val="E53CCEAA"/>
    <w:lvl w:ilvl="0" w:tplc="ECEE0798">
      <w:start w:val="1"/>
      <w:numFmt w:val="lowerLetter"/>
      <w:lvlText w:val="%1."/>
      <w:lvlJc w:val="left"/>
      <w:pPr>
        <w:ind w:left="800" w:hanging="360"/>
        <w:jc w:val="left"/>
      </w:pPr>
      <w:rPr>
        <w:rFonts w:ascii="Open Sans" w:eastAsia="Open Sans" w:hAnsi="Open Sans" w:cs="Open Sans" w:hint="default"/>
        <w:color w:val="231F20"/>
        <w:spacing w:val="-1"/>
        <w:w w:val="100"/>
        <w:sz w:val="19"/>
        <w:szCs w:val="19"/>
      </w:rPr>
    </w:lvl>
    <w:lvl w:ilvl="1" w:tplc="BA18D292">
      <w:numFmt w:val="bullet"/>
      <w:lvlText w:val="•"/>
      <w:lvlJc w:val="left"/>
      <w:pPr>
        <w:ind w:left="1796" w:hanging="360"/>
      </w:pPr>
      <w:rPr>
        <w:rFonts w:hint="default"/>
      </w:rPr>
    </w:lvl>
    <w:lvl w:ilvl="2" w:tplc="E6725F8E">
      <w:numFmt w:val="bullet"/>
      <w:lvlText w:val="•"/>
      <w:lvlJc w:val="left"/>
      <w:pPr>
        <w:ind w:left="2792" w:hanging="360"/>
      </w:pPr>
      <w:rPr>
        <w:rFonts w:hint="default"/>
      </w:rPr>
    </w:lvl>
    <w:lvl w:ilvl="3" w:tplc="3594E9A0">
      <w:numFmt w:val="bullet"/>
      <w:lvlText w:val="•"/>
      <w:lvlJc w:val="left"/>
      <w:pPr>
        <w:ind w:left="3788" w:hanging="360"/>
      </w:pPr>
      <w:rPr>
        <w:rFonts w:hint="default"/>
      </w:rPr>
    </w:lvl>
    <w:lvl w:ilvl="4" w:tplc="4E44E57A"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04048AC2">
      <w:numFmt w:val="bullet"/>
      <w:lvlText w:val="•"/>
      <w:lvlJc w:val="left"/>
      <w:pPr>
        <w:ind w:left="5780" w:hanging="360"/>
      </w:pPr>
      <w:rPr>
        <w:rFonts w:hint="default"/>
      </w:rPr>
    </w:lvl>
    <w:lvl w:ilvl="6" w:tplc="CEFAD9D6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71BEFFA2">
      <w:numFmt w:val="bullet"/>
      <w:lvlText w:val="•"/>
      <w:lvlJc w:val="left"/>
      <w:pPr>
        <w:ind w:left="7772" w:hanging="360"/>
      </w:pPr>
      <w:rPr>
        <w:rFonts w:hint="default"/>
      </w:rPr>
    </w:lvl>
    <w:lvl w:ilvl="8" w:tplc="A2A04B42">
      <w:numFmt w:val="bullet"/>
      <w:lvlText w:val="•"/>
      <w:lvlJc w:val="left"/>
      <w:pPr>
        <w:ind w:left="8768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6BF"/>
    <w:rsid w:val="008B1B69"/>
    <w:rsid w:val="00B266BF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E61AFA-EBD5-48F5-9A4F-B2402670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66BF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paragraph" w:styleId="Heading2">
    <w:name w:val="heading 2"/>
    <w:basedOn w:val="Normal"/>
    <w:link w:val="Heading2Char"/>
    <w:uiPriority w:val="1"/>
    <w:qFormat/>
    <w:rsid w:val="00B266BF"/>
    <w:pPr>
      <w:spacing w:before="111"/>
      <w:ind w:left="281"/>
      <w:outlineLvl w:val="1"/>
    </w:pPr>
    <w:rPr>
      <w:rFonts w:ascii="Canaro" w:eastAsia="Canaro" w:hAnsi="Canaro" w:cs="Canaro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266BF"/>
    <w:rPr>
      <w:rFonts w:ascii="Canaro" w:eastAsia="Canaro" w:hAnsi="Canaro" w:cs="Canaro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B266BF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266BF"/>
    <w:rPr>
      <w:rFonts w:ascii="Open Sans" w:eastAsia="Open Sans" w:hAnsi="Open Sans" w:cs="Open Sans"/>
      <w:sz w:val="19"/>
      <w:szCs w:val="19"/>
    </w:rPr>
  </w:style>
  <w:style w:type="paragraph" w:styleId="ListParagraph">
    <w:name w:val="List Paragraph"/>
    <w:basedOn w:val="Normal"/>
    <w:uiPriority w:val="1"/>
    <w:qFormat/>
    <w:rsid w:val="00B266BF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B26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Simisola Olagundoye</dc:creator>
  <cp:keywords/>
  <dc:description/>
  <cp:lastModifiedBy>Simisola Olagundoye</cp:lastModifiedBy>
  <cp:revision>1</cp:revision>
  <dcterms:created xsi:type="dcterms:W3CDTF">2017-08-07T15:45:00Z</dcterms:created>
  <dcterms:modified xsi:type="dcterms:W3CDTF">2017-08-07T15:46:00Z</dcterms:modified>
</cp:coreProperties>
</file>