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6CA" w:rsidRPr="00444C61" w:rsidRDefault="000616CA" w:rsidP="000616CA">
      <w:pPr>
        <w:pStyle w:val="Heading1"/>
        <w:spacing w:before="109"/>
        <w:rPr>
          <w:rFonts w:ascii="Open Sans" w:hAnsi="Open Sans" w:cs="Open Sans"/>
        </w:rPr>
      </w:pPr>
      <w:r w:rsidRPr="00444C61">
        <w:rPr>
          <w:rFonts w:ascii="Open Sans" w:hAnsi="Open Sans" w:cs="Open Sans"/>
          <w:color w:val="231F20"/>
        </w:rPr>
        <w:t>SURVIVOR-CENTRED ATTITUDE SCALE</w:t>
      </w:r>
    </w:p>
    <w:p w:rsidR="000616CA" w:rsidRPr="00444C61" w:rsidRDefault="000616CA" w:rsidP="000616CA">
      <w:pPr>
        <w:pStyle w:val="Heading3"/>
        <w:spacing w:before="114"/>
        <w:ind w:left="140"/>
        <w:rPr>
          <w:rFonts w:ascii="Open Sans" w:hAnsi="Open Sans" w:cs="Open Sans"/>
        </w:rPr>
      </w:pPr>
      <w:r w:rsidRPr="00444C61">
        <w:rPr>
          <w:rFonts w:ascii="Open Sans" w:hAnsi="Open Sans" w:cs="Open Sans"/>
          <w:color w:val="231F20"/>
        </w:rPr>
        <w:t>INSTRUCTIONS FOR SUPERVISORS</w:t>
      </w:r>
    </w:p>
    <w:p w:rsidR="000616CA" w:rsidRPr="00444C61" w:rsidRDefault="000616CA" w:rsidP="000616CA">
      <w:pPr>
        <w:pStyle w:val="BodyText"/>
        <w:spacing w:before="9"/>
        <w:rPr>
          <w:b/>
          <w:sz w:val="23"/>
        </w:rPr>
      </w:pPr>
      <w:r w:rsidRPr="00444C61">
        <w:rPr>
          <w:noProof/>
        </w:rPr>
        <mc:AlternateContent>
          <mc:Choice Requires="wps">
            <w:drawing>
              <wp:anchor distT="0" distB="0" distL="0" distR="0" simplePos="0" relativeHeight="251665408" behindDoc="0" locked="0" layoutInCell="1" allowOverlap="1" wp14:anchorId="0029EF06" wp14:editId="63C36F93">
                <wp:simplePos x="0" y="0"/>
                <wp:positionH relativeFrom="page">
                  <wp:posOffset>464185</wp:posOffset>
                </wp:positionH>
                <wp:positionV relativeFrom="paragraph">
                  <wp:posOffset>250190</wp:posOffset>
                </wp:positionV>
                <wp:extent cx="6861175" cy="0"/>
                <wp:effectExtent l="26035" t="27940" r="27940" b="29210"/>
                <wp:wrapTopAndBottom/>
                <wp:docPr id="6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1175" cy="0"/>
                        </a:xfrm>
                        <a:prstGeom prst="line">
                          <a:avLst/>
                        </a:prstGeom>
                        <a:noFill/>
                        <a:ln w="42164">
                          <a:solidFill>
                            <a:srgbClr val="F4F3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00383" id="Line 22"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55pt,19.7pt" to="576.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" strokecolor="#f4f3f0" strokeweight="3.32pt">
                <w10:wrap type="topAndBottom" anchorx="page"/>
              </v:line>
            </w:pict>
          </mc:Fallback>
        </mc:AlternateContent>
      </w:r>
    </w:p>
    <w:p w:rsidR="000616CA" w:rsidRPr="00444C61" w:rsidRDefault="000616CA" w:rsidP="000616CA">
      <w:pPr>
        <w:pStyle w:val="BodyText"/>
        <w:spacing w:before="4"/>
        <w:rPr>
          <w:b/>
        </w:rPr>
      </w:pPr>
    </w:p>
    <w:p w:rsidR="000616CA" w:rsidRPr="00444C61" w:rsidRDefault="000616CA" w:rsidP="000616CA">
      <w:pPr>
        <w:pStyle w:val="BodyText"/>
        <w:spacing w:line="268" w:lineRule="auto"/>
        <w:ind w:left="140" w:right="618"/>
      </w:pPr>
      <w:r w:rsidRPr="00444C61">
        <w:rPr>
          <w:color w:val="231F20"/>
        </w:rPr>
        <w:t>The Survivor-Centred Attitude Scale is a tool for supervisors to evaluate attitudes among staff providing direct support to GBV survivors. It includes 14 statements to assess a staff member’s personal values and beliefs. The scale can measure an individual’s attitudinal readiness for working directly with survivors, while also highlighting specific areas in which the staff member may require further education and training.</w:t>
      </w:r>
    </w:p>
    <w:p w:rsidR="000616CA" w:rsidRPr="00444C61" w:rsidRDefault="000616CA" w:rsidP="000616CA">
      <w:pPr>
        <w:pStyle w:val="BodyText"/>
        <w:spacing w:before="5"/>
        <w:rPr>
          <w:sz w:val="26"/>
        </w:rPr>
      </w:pPr>
    </w:p>
    <w:p w:rsidR="000616CA" w:rsidRPr="00444C61" w:rsidRDefault="000616CA" w:rsidP="000616CA">
      <w:pPr>
        <w:pStyle w:val="BodyText"/>
        <w:spacing w:line="268" w:lineRule="auto"/>
        <w:ind w:left="140" w:right="611"/>
      </w:pPr>
      <w:r w:rsidRPr="00444C61">
        <w:rPr>
          <w:b/>
          <w:color w:val="231F20"/>
        </w:rPr>
        <w:t xml:space="preserve">When to Administer: </w:t>
      </w:r>
      <w:r w:rsidRPr="00444C61">
        <w:rPr>
          <w:color w:val="231F20"/>
        </w:rPr>
        <w:t>The Survivor-Centred Attitude Scale should be given prior to staff working directly with survivors.</w:t>
      </w:r>
    </w:p>
    <w:p w:rsidR="000616CA" w:rsidRPr="00444C61" w:rsidRDefault="000616CA" w:rsidP="000616CA">
      <w:pPr>
        <w:pStyle w:val="Heading3"/>
        <w:spacing w:before="179"/>
        <w:ind w:left="140"/>
        <w:rPr>
          <w:rFonts w:ascii="Open Sans" w:hAnsi="Open Sans" w:cs="Open Sans"/>
        </w:rPr>
      </w:pPr>
      <w:r w:rsidRPr="00444C61">
        <w:rPr>
          <w:rFonts w:ascii="Open Sans" w:hAnsi="Open Sans" w:cs="Open Sans"/>
          <w:color w:val="231F20"/>
        </w:rPr>
        <w:t>How to Administer:</w:t>
      </w:r>
    </w:p>
    <w:p w:rsidR="000616CA" w:rsidRPr="00444C61" w:rsidRDefault="000616CA" w:rsidP="000616CA">
      <w:pPr>
        <w:pStyle w:val="BodyText"/>
        <w:spacing w:before="210" w:line="268" w:lineRule="auto"/>
        <w:ind w:left="770" w:right="319"/>
      </w:pPr>
      <w:r w:rsidRPr="00444C61">
        <w:rPr>
          <w:noProof/>
        </w:rPr>
        <w:drawing>
          <wp:anchor distT="0" distB="0" distL="0" distR="0" simplePos="0" relativeHeight="251659264" behindDoc="0" locked="0" layoutInCell="1" allowOverlap="1" wp14:anchorId="5B9C55A9" wp14:editId="178F14E8">
            <wp:simplePos x="0" y="0"/>
            <wp:positionH relativeFrom="page">
              <wp:posOffset>621826</wp:posOffset>
            </wp:positionH>
            <wp:positionV relativeFrom="paragraph">
              <wp:posOffset>178538</wp:posOffset>
            </wp:positionV>
            <wp:extent cx="146850" cy="10993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6850" cy="109931"/>
                    </a:xfrm>
                    <a:prstGeom prst="rect">
                      <a:avLst/>
                    </a:prstGeom>
                  </pic:spPr>
                </pic:pic>
              </a:graphicData>
            </a:graphic>
          </wp:anchor>
        </w:drawing>
      </w:r>
      <w:r w:rsidRPr="00444C61">
        <w:rPr>
          <w:b/>
          <w:color w:val="231F20"/>
        </w:rPr>
        <w:t xml:space="preserve">Step 1: </w:t>
      </w:r>
      <w:r w:rsidRPr="00444C61">
        <w:rPr>
          <w:color w:val="231F20"/>
        </w:rPr>
        <w:t>Set up a private, comfortable setting where the staff member has at least 30 minutes to complete the personal assessment. The Survivor-Centred Attitude Scale should not be given as homework or in other ways that would allow the staff person to consult with others. This is a self-administered, personal assessment.</w:t>
      </w:r>
    </w:p>
    <w:p w:rsidR="000616CA" w:rsidRPr="00444C61" w:rsidRDefault="000616CA" w:rsidP="000616CA">
      <w:pPr>
        <w:pStyle w:val="BodyText"/>
        <w:spacing w:before="179" w:line="268" w:lineRule="auto"/>
        <w:ind w:left="770" w:right="509"/>
      </w:pPr>
      <w:r w:rsidRPr="00444C61">
        <w:rPr>
          <w:noProof/>
        </w:rPr>
        <w:drawing>
          <wp:anchor distT="0" distB="0" distL="0" distR="0" simplePos="0" relativeHeight="251660288" behindDoc="0" locked="0" layoutInCell="1" allowOverlap="1" wp14:anchorId="6721B9F5" wp14:editId="13E7D641">
            <wp:simplePos x="0" y="0"/>
            <wp:positionH relativeFrom="page">
              <wp:posOffset>621826</wp:posOffset>
            </wp:positionH>
            <wp:positionV relativeFrom="paragraph">
              <wp:posOffset>152503</wp:posOffset>
            </wp:positionV>
            <wp:extent cx="146850" cy="10993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46850" cy="109931"/>
                    </a:xfrm>
                    <a:prstGeom prst="rect">
                      <a:avLst/>
                    </a:prstGeom>
                  </pic:spPr>
                </pic:pic>
              </a:graphicData>
            </a:graphic>
          </wp:anchor>
        </w:drawing>
      </w:r>
      <w:r w:rsidRPr="00444C61">
        <w:rPr>
          <w:b/>
          <w:color w:val="231F20"/>
          <w:spacing w:val="3"/>
        </w:rPr>
        <w:t xml:space="preserve">Step </w:t>
      </w:r>
      <w:r w:rsidRPr="00444C61">
        <w:rPr>
          <w:b/>
          <w:color w:val="231F20"/>
        </w:rPr>
        <w:t xml:space="preserve">2: </w:t>
      </w:r>
      <w:r w:rsidRPr="00444C61">
        <w:rPr>
          <w:color w:val="231F20"/>
          <w:spacing w:val="3"/>
        </w:rPr>
        <w:t xml:space="preserve">Explain </w:t>
      </w:r>
      <w:r w:rsidRPr="00444C61">
        <w:rPr>
          <w:color w:val="231F20"/>
          <w:spacing w:val="2"/>
        </w:rPr>
        <w:t xml:space="preserve">the </w:t>
      </w:r>
      <w:r w:rsidRPr="00444C61">
        <w:rPr>
          <w:color w:val="231F20"/>
          <w:spacing w:val="3"/>
        </w:rPr>
        <w:t xml:space="preserve">purpose. Supervisors should clearly explain </w:t>
      </w:r>
      <w:r w:rsidRPr="00444C61">
        <w:rPr>
          <w:color w:val="231F20"/>
        </w:rPr>
        <w:t xml:space="preserve">to </w:t>
      </w:r>
      <w:r w:rsidRPr="00444C61">
        <w:rPr>
          <w:color w:val="231F20"/>
          <w:spacing w:val="3"/>
        </w:rPr>
        <w:t xml:space="preserve">staff that this </w:t>
      </w:r>
      <w:r w:rsidRPr="00444C61">
        <w:rPr>
          <w:color w:val="231F20"/>
        </w:rPr>
        <w:t xml:space="preserve">is an </w:t>
      </w:r>
      <w:r w:rsidRPr="00444C61">
        <w:rPr>
          <w:color w:val="231F20"/>
          <w:spacing w:val="3"/>
        </w:rPr>
        <w:t xml:space="preserve">assessment </w:t>
      </w:r>
      <w:r w:rsidRPr="00444C61">
        <w:rPr>
          <w:color w:val="231F20"/>
        </w:rPr>
        <w:t xml:space="preserve">to </w:t>
      </w:r>
      <w:r w:rsidRPr="00444C61">
        <w:rPr>
          <w:color w:val="231F20"/>
          <w:spacing w:val="4"/>
        </w:rPr>
        <w:t xml:space="preserve">better </w:t>
      </w:r>
      <w:r w:rsidRPr="00444C61">
        <w:rPr>
          <w:color w:val="231F20"/>
          <w:spacing w:val="3"/>
        </w:rPr>
        <w:t xml:space="preserve">understand their personal beliefs </w:t>
      </w:r>
      <w:r w:rsidRPr="00444C61">
        <w:rPr>
          <w:color w:val="231F20"/>
          <w:spacing w:val="2"/>
        </w:rPr>
        <w:t xml:space="preserve">and </w:t>
      </w:r>
      <w:r w:rsidRPr="00444C61">
        <w:rPr>
          <w:color w:val="231F20"/>
          <w:spacing w:val="3"/>
        </w:rPr>
        <w:t xml:space="preserve">feelings about </w:t>
      </w:r>
      <w:r w:rsidRPr="00444C61">
        <w:rPr>
          <w:color w:val="231F20"/>
          <w:spacing w:val="2"/>
        </w:rPr>
        <w:t xml:space="preserve">GBV and </w:t>
      </w:r>
      <w:r w:rsidRPr="00444C61">
        <w:rPr>
          <w:color w:val="231F20"/>
          <w:spacing w:val="3"/>
        </w:rPr>
        <w:t xml:space="preserve">those </w:t>
      </w:r>
      <w:r w:rsidRPr="00444C61">
        <w:rPr>
          <w:color w:val="231F20"/>
          <w:spacing w:val="2"/>
        </w:rPr>
        <w:t xml:space="preserve">who </w:t>
      </w:r>
      <w:r w:rsidRPr="00444C61">
        <w:rPr>
          <w:color w:val="231F20"/>
          <w:spacing w:val="3"/>
        </w:rPr>
        <w:t xml:space="preserve">experience </w:t>
      </w:r>
      <w:r w:rsidRPr="00444C61">
        <w:rPr>
          <w:color w:val="231F20"/>
          <w:spacing w:val="2"/>
        </w:rPr>
        <w:t xml:space="preserve">it. </w:t>
      </w:r>
      <w:r w:rsidRPr="00444C61">
        <w:rPr>
          <w:color w:val="231F20"/>
          <w:spacing w:val="3"/>
        </w:rPr>
        <w:t xml:space="preserve">Emphasize </w:t>
      </w:r>
      <w:r w:rsidRPr="00444C61">
        <w:rPr>
          <w:color w:val="231F20"/>
        </w:rPr>
        <w:t xml:space="preserve">to </w:t>
      </w:r>
      <w:r w:rsidRPr="00444C61">
        <w:rPr>
          <w:color w:val="231F20"/>
          <w:spacing w:val="4"/>
        </w:rPr>
        <w:t xml:space="preserve">staff   </w:t>
      </w:r>
      <w:r w:rsidRPr="00444C61">
        <w:rPr>
          <w:color w:val="231F20"/>
          <w:spacing w:val="3"/>
        </w:rPr>
        <w:t xml:space="preserve">that </w:t>
      </w:r>
      <w:r w:rsidRPr="00444C61">
        <w:rPr>
          <w:color w:val="231F20"/>
          <w:spacing w:val="2"/>
        </w:rPr>
        <w:t xml:space="preserve">all </w:t>
      </w:r>
      <w:r w:rsidRPr="00444C61">
        <w:rPr>
          <w:color w:val="231F20"/>
          <w:spacing w:val="3"/>
        </w:rPr>
        <w:t xml:space="preserve">answers should </w:t>
      </w:r>
      <w:r w:rsidRPr="00444C61">
        <w:rPr>
          <w:color w:val="231F20"/>
        </w:rPr>
        <w:t xml:space="preserve">be </w:t>
      </w:r>
      <w:r w:rsidRPr="00444C61">
        <w:rPr>
          <w:color w:val="231F20"/>
          <w:spacing w:val="3"/>
        </w:rPr>
        <w:t xml:space="preserve">honest </w:t>
      </w:r>
      <w:r w:rsidRPr="00444C61">
        <w:rPr>
          <w:color w:val="231F20"/>
          <w:spacing w:val="2"/>
        </w:rPr>
        <w:t xml:space="preserve">and </w:t>
      </w:r>
      <w:r w:rsidRPr="00444C61">
        <w:rPr>
          <w:color w:val="231F20"/>
          <w:spacing w:val="3"/>
        </w:rPr>
        <w:t xml:space="preserve">self-reflective, </w:t>
      </w:r>
      <w:r w:rsidRPr="00444C61">
        <w:rPr>
          <w:color w:val="231F20"/>
          <w:spacing w:val="2"/>
        </w:rPr>
        <w:t xml:space="preserve">and </w:t>
      </w:r>
      <w:r w:rsidRPr="00444C61">
        <w:rPr>
          <w:color w:val="231F20"/>
          <w:spacing w:val="3"/>
        </w:rPr>
        <w:t xml:space="preserve">that </w:t>
      </w:r>
      <w:r w:rsidRPr="00444C61">
        <w:rPr>
          <w:color w:val="231F20"/>
          <w:spacing w:val="2"/>
        </w:rPr>
        <w:t xml:space="preserve">the </w:t>
      </w:r>
      <w:r w:rsidRPr="00444C61">
        <w:rPr>
          <w:color w:val="231F20"/>
          <w:spacing w:val="3"/>
        </w:rPr>
        <w:t xml:space="preserve">Survivor-Centred Attitude Scale </w:t>
      </w:r>
      <w:r w:rsidRPr="00444C61">
        <w:rPr>
          <w:color w:val="231F20"/>
        </w:rPr>
        <w:t xml:space="preserve">is a </w:t>
      </w:r>
      <w:r w:rsidRPr="00444C61">
        <w:rPr>
          <w:color w:val="231F20"/>
          <w:spacing w:val="3"/>
        </w:rPr>
        <w:t xml:space="preserve">tool </w:t>
      </w:r>
      <w:r w:rsidRPr="00444C61">
        <w:rPr>
          <w:color w:val="231F20"/>
          <w:spacing w:val="4"/>
        </w:rPr>
        <w:t xml:space="preserve">to </w:t>
      </w:r>
      <w:r w:rsidRPr="00444C61">
        <w:rPr>
          <w:color w:val="231F20"/>
          <w:spacing w:val="3"/>
        </w:rPr>
        <w:t xml:space="preserve">identify areas where individuals </w:t>
      </w:r>
      <w:r w:rsidRPr="00444C61">
        <w:rPr>
          <w:color w:val="231F20"/>
          <w:spacing w:val="2"/>
        </w:rPr>
        <w:t xml:space="preserve">can </w:t>
      </w:r>
      <w:r w:rsidRPr="00444C61">
        <w:rPr>
          <w:color w:val="231F20"/>
          <w:spacing w:val="3"/>
        </w:rPr>
        <w:t xml:space="preserve">benefit from further coaching </w:t>
      </w:r>
      <w:r w:rsidRPr="00444C61">
        <w:rPr>
          <w:color w:val="231F20"/>
          <w:spacing w:val="2"/>
        </w:rPr>
        <w:t xml:space="preserve">and </w:t>
      </w:r>
      <w:r w:rsidRPr="00444C61">
        <w:rPr>
          <w:color w:val="231F20"/>
          <w:spacing w:val="3"/>
        </w:rPr>
        <w:t xml:space="preserve">staff </w:t>
      </w:r>
      <w:r w:rsidRPr="00444C61">
        <w:rPr>
          <w:color w:val="231F20"/>
          <w:spacing w:val="4"/>
        </w:rPr>
        <w:t>development.</w:t>
      </w:r>
    </w:p>
    <w:p w:rsidR="000616CA" w:rsidRPr="00444C61" w:rsidRDefault="000616CA" w:rsidP="000616CA">
      <w:pPr>
        <w:pStyle w:val="BodyText"/>
        <w:spacing w:before="179" w:line="268" w:lineRule="auto"/>
        <w:ind w:left="770" w:right="509"/>
      </w:pPr>
      <w:r w:rsidRPr="00444C61">
        <w:rPr>
          <w:noProof/>
        </w:rPr>
        <w:drawing>
          <wp:anchor distT="0" distB="0" distL="0" distR="0" simplePos="0" relativeHeight="251661312" behindDoc="0" locked="0" layoutInCell="1" allowOverlap="1" wp14:anchorId="401344D2" wp14:editId="3E43F186">
            <wp:simplePos x="0" y="0"/>
            <wp:positionH relativeFrom="page">
              <wp:posOffset>621826</wp:posOffset>
            </wp:positionH>
            <wp:positionV relativeFrom="paragraph">
              <wp:posOffset>152503</wp:posOffset>
            </wp:positionV>
            <wp:extent cx="146850" cy="109931"/>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146850" cy="109931"/>
                    </a:xfrm>
                    <a:prstGeom prst="rect">
                      <a:avLst/>
                    </a:prstGeom>
                  </pic:spPr>
                </pic:pic>
              </a:graphicData>
            </a:graphic>
          </wp:anchor>
        </w:drawing>
      </w:r>
      <w:r w:rsidRPr="00444C61">
        <w:rPr>
          <w:b/>
          <w:color w:val="231F20"/>
        </w:rPr>
        <w:t xml:space="preserve">Step 3: </w:t>
      </w:r>
      <w:r w:rsidRPr="00444C61">
        <w:rPr>
          <w:color w:val="231F20"/>
        </w:rPr>
        <w:t>Explain to the staff member how to do it. The Survivor-Centred Attitude Scale is divided into 14 questions. Individuals will score themselves according to how much they agree or disagree with a question, based on a scale of 1 through 4.</w:t>
      </w:r>
    </w:p>
    <w:p w:rsidR="000616CA" w:rsidRPr="00444C61" w:rsidRDefault="000616CA" w:rsidP="000616CA">
      <w:pPr>
        <w:pStyle w:val="BodyText"/>
        <w:spacing w:before="179"/>
        <w:ind w:left="770"/>
      </w:pPr>
      <w:r w:rsidRPr="00444C61">
        <w:rPr>
          <w:noProof/>
        </w:rPr>
        <w:drawing>
          <wp:anchor distT="0" distB="0" distL="0" distR="0" simplePos="0" relativeHeight="251662336" behindDoc="0" locked="0" layoutInCell="1" allowOverlap="1" wp14:anchorId="4F957539" wp14:editId="33BEF9DA">
            <wp:simplePos x="0" y="0"/>
            <wp:positionH relativeFrom="page">
              <wp:posOffset>621826</wp:posOffset>
            </wp:positionH>
            <wp:positionV relativeFrom="paragraph">
              <wp:posOffset>146153</wp:posOffset>
            </wp:positionV>
            <wp:extent cx="146850" cy="109931"/>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 cstate="print"/>
                    <a:stretch>
                      <a:fillRect/>
                    </a:stretch>
                  </pic:blipFill>
                  <pic:spPr>
                    <a:xfrm>
                      <a:off x="0" y="0"/>
                      <a:ext cx="146850" cy="109931"/>
                    </a:xfrm>
                    <a:prstGeom prst="rect">
                      <a:avLst/>
                    </a:prstGeom>
                  </pic:spPr>
                </pic:pic>
              </a:graphicData>
            </a:graphic>
          </wp:anchor>
        </w:drawing>
      </w:r>
      <w:r w:rsidRPr="00444C61">
        <w:rPr>
          <w:b/>
          <w:color w:val="231F20"/>
        </w:rPr>
        <w:t xml:space="preserve">Step 4: </w:t>
      </w:r>
      <w:r w:rsidRPr="00444C61">
        <w:rPr>
          <w:color w:val="231F20"/>
        </w:rPr>
        <w:t>Have the individual complete the Survivor-Centred Attitude Scale in a quiet and comfortable setting.</w:t>
      </w:r>
    </w:p>
    <w:p w:rsidR="000616CA" w:rsidRPr="00444C61" w:rsidRDefault="000616CA" w:rsidP="000616CA">
      <w:pPr>
        <w:pStyle w:val="BodyText"/>
        <w:spacing w:before="210"/>
        <w:ind w:left="770"/>
      </w:pPr>
      <w:r w:rsidRPr="00444C61">
        <w:rPr>
          <w:noProof/>
        </w:rPr>
        <w:drawing>
          <wp:anchor distT="0" distB="0" distL="0" distR="0" simplePos="0" relativeHeight="251663360" behindDoc="0" locked="0" layoutInCell="1" allowOverlap="1" wp14:anchorId="4083FA7C" wp14:editId="222D3C2B">
            <wp:simplePos x="0" y="0"/>
            <wp:positionH relativeFrom="page">
              <wp:posOffset>621826</wp:posOffset>
            </wp:positionH>
            <wp:positionV relativeFrom="paragraph">
              <wp:posOffset>159488</wp:posOffset>
            </wp:positionV>
            <wp:extent cx="146850" cy="109931"/>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6" cstate="print"/>
                    <a:stretch>
                      <a:fillRect/>
                    </a:stretch>
                  </pic:blipFill>
                  <pic:spPr>
                    <a:xfrm>
                      <a:off x="0" y="0"/>
                      <a:ext cx="146850" cy="109931"/>
                    </a:xfrm>
                    <a:prstGeom prst="rect">
                      <a:avLst/>
                    </a:prstGeom>
                  </pic:spPr>
                </pic:pic>
              </a:graphicData>
            </a:graphic>
          </wp:anchor>
        </w:drawing>
      </w:r>
      <w:r w:rsidRPr="00444C61">
        <w:rPr>
          <w:b/>
          <w:color w:val="231F20"/>
        </w:rPr>
        <w:t xml:space="preserve">Step 5: </w:t>
      </w:r>
      <w:r w:rsidRPr="00444C61">
        <w:rPr>
          <w:color w:val="231F20"/>
        </w:rPr>
        <w:t>Score the Survivor-Centred Attitude Scale.</w:t>
      </w:r>
    </w:p>
    <w:p w:rsidR="000616CA" w:rsidRPr="00444C61" w:rsidRDefault="000616CA" w:rsidP="000616CA">
      <w:pPr>
        <w:pStyle w:val="BodyText"/>
        <w:spacing w:before="9"/>
        <w:rPr>
          <w:sz w:val="28"/>
        </w:rPr>
      </w:pPr>
    </w:p>
    <w:p w:rsidR="000616CA" w:rsidRPr="00444C61" w:rsidRDefault="000616CA" w:rsidP="000616CA">
      <w:pPr>
        <w:pStyle w:val="BodyText"/>
        <w:spacing w:line="268" w:lineRule="auto"/>
        <w:ind w:left="140" w:right="509"/>
      </w:pPr>
      <w:r w:rsidRPr="00444C61">
        <w:rPr>
          <w:color w:val="231F20"/>
        </w:rPr>
        <w:t>The supervisor should ask for 20-25 minutes following the completion of the questionnaire to calculate the score. Use the scoring guide provided.</w:t>
      </w:r>
    </w:p>
    <w:p w:rsidR="000616CA" w:rsidRPr="00444C61" w:rsidRDefault="000616CA" w:rsidP="000616CA">
      <w:pPr>
        <w:pStyle w:val="BodyText"/>
        <w:spacing w:before="179" w:line="268" w:lineRule="auto"/>
        <w:ind w:left="140" w:right="509"/>
      </w:pPr>
      <w:r w:rsidRPr="00444C61">
        <w:rPr>
          <w:color w:val="231F20"/>
        </w:rPr>
        <w:t>Each question was devised so that answers can range from a positive high of 4 to a negative low of 1. Guidelines for interpreting the scores are below.</w:t>
      </w:r>
    </w:p>
    <w:p w:rsidR="000616CA" w:rsidRPr="00444C61" w:rsidRDefault="000616CA" w:rsidP="000616CA">
      <w:pPr>
        <w:pStyle w:val="BodyText"/>
        <w:spacing w:before="10"/>
      </w:pPr>
    </w:p>
    <w:p w:rsidR="000616CA" w:rsidRPr="00444C61" w:rsidRDefault="000616CA" w:rsidP="000616CA">
      <w:pPr>
        <w:pStyle w:val="ListParagraph"/>
        <w:numPr>
          <w:ilvl w:val="0"/>
          <w:numId w:val="1"/>
        </w:numPr>
        <w:tabs>
          <w:tab w:val="left" w:pos="770"/>
        </w:tabs>
        <w:spacing w:line="268" w:lineRule="auto"/>
        <w:ind w:right="293"/>
        <w:rPr>
          <w:sz w:val="19"/>
        </w:rPr>
      </w:pPr>
      <w:r w:rsidRPr="00444C61">
        <w:rPr>
          <w:b/>
          <w:color w:val="231F20"/>
          <w:spacing w:val="3"/>
          <w:sz w:val="19"/>
        </w:rPr>
        <w:t xml:space="preserve">56-46 points: </w:t>
      </w:r>
      <w:r w:rsidRPr="00444C61">
        <w:rPr>
          <w:color w:val="231F20"/>
          <w:spacing w:val="3"/>
          <w:sz w:val="19"/>
        </w:rPr>
        <w:t xml:space="preserve">Scores </w:t>
      </w:r>
      <w:r w:rsidRPr="00444C61">
        <w:rPr>
          <w:color w:val="231F20"/>
          <w:sz w:val="19"/>
        </w:rPr>
        <w:t xml:space="preserve">in </w:t>
      </w:r>
      <w:r w:rsidRPr="00444C61">
        <w:rPr>
          <w:color w:val="231F20"/>
          <w:spacing w:val="3"/>
          <w:sz w:val="19"/>
        </w:rPr>
        <w:t xml:space="preserve">this range indicate that </w:t>
      </w:r>
      <w:r w:rsidRPr="00444C61">
        <w:rPr>
          <w:color w:val="231F20"/>
          <w:spacing w:val="2"/>
          <w:sz w:val="19"/>
        </w:rPr>
        <w:t xml:space="preserve">the </w:t>
      </w:r>
      <w:r w:rsidRPr="00444C61">
        <w:rPr>
          <w:color w:val="231F20"/>
          <w:spacing w:val="3"/>
          <w:sz w:val="19"/>
        </w:rPr>
        <w:t xml:space="preserve">helper </w:t>
      </w:r>
      <w:r w:rsidRPr="00444C61">
        <w:rPr>
          <w:color w:val="231F20"/>
          <w:spacing w:val="2"/>
          <w:sz w:val="19"/>
        </w:rPr>
        <w:t xml:space="preserve">has </w:t>
      </w:r>
      <w:r w:rsidRPr="00444C61">
        <w:rPr>
          <w:color w:val="231F20"/>
          <w:sz w:val="19"/>
        </w:rPr>
        <w:t xml:space="preserve">a </w:t>
      </w:r>
      <w:r w:rsidRPr="00444C61">
        <w:rPr>
          <w:color w:val="231F20"/>
          <w:spacing w:val="3"/>
          <w:sz w:val="19"/>
        </w:rPr>
        <w:t xml:space="preserve">survivor-friendly attitude </w:t>
      </w:r>
      <w:r w:rsidRPr="00444C61">
        <w:rPr>
          <w:color w:val="231F20"/>
          <w:sz w:val="19"/>
        </w:rPr>
        <w:t xml:space="preserve">– </w:t>
      </w:r>
      <w:r w:rsidRPr="00444C61">
        <w:rPr>
          <w:color w:val="231F20"/>
          <w:spacing w:val="3"/>
          <w:sz w:val="19"/>
        </w:rPr>
        <w:t xml:space="preserve">they have </w:t>
      </w:r>
      <w:r w:rsidRPr="00444C61">
        <w:rPr>
          <w:color w:val="231F20"/>
          <w:spacing w:val="4"/>
          <w:sz w:val="19"/>
        </w:rPr>
        <w:t xml:space="preserve">positive </w:t>
      </w:r>
      <w:r w:rsidRPr="00444C61">
        <w:rPr>
          <w:color w:val="231F20"/>
          <w:spacing w:val="3"/>
          <w:sz w:val="19"/>
        </w:rPr>
        <w:t xml:space="preserve">beliefs </w:t>
      </w:r>
      <w:r w:rsidRPr="00444C61">
        <w:rPr>
          <w:color w:val="231F20"/>
          <w:spacing w:val="2"/>
          <w:sz w:val="19"/>
        </w:rPr>
        <w:t xml:space="preserve">and </w:t>
      </w:r>
      <w:r w:rsidRPr="00444C61">
        <w:rPr>
          <w:color w:val="231F20"/>
          <w:spacing w:val="3"/>
          <w:sz w:val="19"/>
        </w:rPr>
        <w:t xml:space="preserve">values </w:t>
      </w:r>
      <w:r w:rsidRPr="00444C61">
        <w:rPr>
          <w:color w:val="231F20"/>
          <w:spacing w:val="2"/>
          <w:sz w:val="19"/>
        </w:rPr>
        <w:t xml:space="preserve">for </w:t>
      </w:r>
      <w:r w:rsidRPr="00444C61">
        <w:rPr>
          <w:color w:val="231F20"/>
          <w:spacing w:val="3"/>
          <w:sz w:val="19"/>
        </w:rPr>
        <w:t>working with</w:t>
      </w:r>
      <w:r w:rsidRPr="00444C61">
        <w:rPr>
          <w:color w:val="231F20"/>
          <w:spacing w:val="52"/>
          <w:sz w:val="19"/>
        </w:rPr>
        <w:t xml:space="preserve"> </w:t>
      </w:r>
      <w:r w:rsidRPr="00444C61">
        <w:rPr>
          <w:color w:val="231F20"/>
          <w:spacing w:val="4"/>
          <w:sz w:val="19"/>
        </w:rPr>
        <w:t>survivors.</w:t>
      </w:r>
    </w:p>
    <w:p w:rsidR="000616CA" w:rsidRPr="00444C61" w:rsidRDefault="000616CA" w:rsidP="000616CA">
      <w:pPr>
        <w:pStyle w:val="ListParagraph"/>
        <w:numPr>
          <w:ilvl w:val="0"/>
          <w:numId w:val="1"/>
        </w:numPr>
        <w:tabs>
          <w:tab w:val="left" w:pos="770"/>
        </w:tabs>
        <w:spacing w:before="89" w:line="268" w:lineRule="auto"/>
        <w:ind w:right="704"/>
        <w:rPr>
          <w:sz w:val="19"/>
        </w:rPr>
      </w:pPr>
      <w:r w:rsidRPr="00444C61">
        <w:rPr>
          <w:b/>
          <w:color w:val="231F20"/>
          <w:spacing w:val="3"/>
          <w:sz w:val="19"/>
        </w:rPr>
        <w:t xml:space="preserve">45-35 points: </w:t>
      </w:r>
      <w:r w:rsidRPr="00444C61">
        <w:rPr>
          <w:color w:val="231F20"/>
          <w:spacing w:val="3"/>
          <w:sz w:val="19"/>
        </w:rPr>
        <w:t xml:space="preserve">Scores </w:t>
      </w:r>
      <w:r w:rsidRPr="00444C61">
        <w:rPr>
          <w:color w:val="231F20"/>
          <w:sz w:val="19"/>
        </w:rPr>
        <w:t xml:space="preserve">in </w:t>
      </w:r>
      <w:r w:rsidRPr="00444C61">
        <w:rPr>
          <w:color w:val="231F20"/>
          <w:spacing w:val="3"/>
          <w:sz w:val="19"/>
        </w:rPr>
        <w:t xml:space="preserve">this range indicate some troubling attitudes that </w:t>
      </w:r>
      <w:r w:rsidRPr="00444C61">
        <w:rPr>
          <w:color w:val="231F20"/>
          <w:spacing w:val="2"/>
          <w:sz w:val="19"/>
        </w:rPr>
        <w:t xml:space="preserve">may </w:t>
      </w:r>
      <w:r w:rsidRPr="00444C61">
        <w:rPr>
          <w:color w:val="231F20"/>
          <w:sz w:val="19"/>
        </w:rPr>
        <w:t xml:space="preserve">be </w:t>
      </w:r>
      <w:r w:rsidRPr="00444C61">
        <w:rPr>
          <w:color w:val="231F20"/>
          <w:spacing w:val="3"/>
          <w:sz w:val="19"/>
        </w:rPr>
        <w:t xml:space="preserve">harmful </w:t>
      </w:r>
      <w:r w:rsidRPr="00444C61">
        <w:rPr>
          <w:color w:val="231F20"/>
          <w:sz w:val="19"/>
        </w:rPr>
        <w:t xml:space="preserve">to </w:t>
      </w:r>
      <w:r w:rsidRPr="00444C61">
        <w:rPr>
          <w:color w:val="231F20"/>
          <w:spacing w:val="4"/>
          <w:sz w:val="19"/>
        </w:rPr>
        <w:t xml:space="preserve">survivors. </w:t>
      </w:r>
      <w:r w:rsidRPr="00444C61">
        <w:rPr>
          <w:color w:val="231F20"/>
          <w:spacing w:val="3"/>
          <w:sz w:val="19"/>
        </w:rPr>
        <w:t xml:space="preserve">Managers </w:t>
      </w:r>
      <w:r w:rsidRPr="00444C61">
        <w:rPr>
          <w:color w:val="231F20"/>
          <w:spacing w:val="2"/>
          <w:sz w:val="19"/>
        </w:rPr>
        <w:t xml:space="preserve">and </w:t>
      </w:r>
      <w:r w:rsidRPr="00444C61">
        <w:rPr>
          <w:color w:val="231F20"/>
          <w:spacing w:val="3"/>
          <w:sz w:val="19"/>
        </w:rPr>
        <w:t xml:space="preserve">supervisors should </w:t>
      </w:r>
      <w:r w:rsidRPr="00444C61">
        <w:rPr>
          <w:color w:val="231F20"/>
          <w:spacing w:val="2"/>
          <w:sz w:val="19"/>
        </w:rPr>
        <w:t xml:space="preserve">use </w:t>
      </w:r>
      <w:r w:rsidRPr="00444C61">
        <w:rPr>
          <w:color w:val="231F20"/>
          <w:spacing w:val="3"/>
          <w:sz w:val="19"/>
        </w:rPr>
        <w:t xml:space="preserve">their discretion </w:t>
      </w:r>
      <w:r w:rsidRPr="00444C61">
        <w:rPr>
          <w:color w:val="231F20"/>
          <w:sz w:val="19"/>
        </w:rPr>
        <w:t xml:space="preserve">in </w:t>
      </w:r>
      <w:r w:rsidRPr="00444C61">
        <w:rPr>
          <w:color w:val="231F20"/>
          <w:spacing w:val="3"/>
          <w:sz w:val="19"/>
        </w:rPr>
        <w:t xml:space="preserve">allowing staff </w:t>
      </w:r>
      <w:r w:rsidRPr="00444C61">
        <w:rPr>
          <w:color w:val="231F20"/>
          <w:sz w:val="19"/>
        </w:rPr>
        <w:t xml:space="preserve">to </w:t>
      </w:r>
      <w:r w:rsidRPr="00444C61">
        <w:rPr>
          <w:color w:val="231F20"/>
          <w:spacing w:val="3"/>
          <w:sz w:val="19"/>
        </w:rPr>
        <w:t xml:space="preserve">work </w:t>
      </w:r>
      <w:r w:rsidRPr="00444C61">
        <w:rPr>
          <w:color w:val="231F20"/>
          <w:sz w:val="19"/>
        </w:rPr>
        <w:t xml:space="preserve">on </w:t>
      </w:r>
      <w:r w:rsidRPr="00444C61">
        <w:rPr>
          <w:color w:val="231F20"/>
          <w:spacing w:val="3"/>
          <w:sz w:val="19"/>
        </w:rPr>
        <w:t xml:space="preserve">cases </w:t>
      </w:r>
      <w:r w:rsidRPr="00444C61">
        <w:rPr>
          <w:color w:val="231F20"/>
          <w:spacing w:val="2"/>
          <w:sz w:val="19"/>
        </w:rPr>
        <w:t xml:space="preserve">and may </w:t>
      </w:r>
      <w:r w:rsidRPr="00444C61">
        <w:rPr>
          <w:color w:val="231F20"/>
          <w:spacing w:val="3"/>
          <w:sz w:val="19"/>
        </w:rPr>
        <w:t xml:space="preserve">want </w:t>
      </w:r>
      <w:r w:rsidRPr="00444C61">
        <w:rPr>
          <w:color w:val="231F20"/>
          <w:spacing w:val="4"/>
          <w:sz w:val="19"/>
        </w:rPr>
        <w:t xml:space="preserve">to </w:t>
      </w:r>
      <w:r w:rsidRPr="00444C61">
        <w:rPr>
          <w:color w:val="231F20"/>
          <w:spacing w:val="3"/>
          <w:sz w:val="19"/>
        </w:rPr>
        <w:t xml:space="preserve">consider “coaching” </w:t>
      </w:r>
      <w:r w:rsidRPr="00444C61">
        <w:rPr>
          <w:color w:val="231F20"/>
          <w:spacing w:val="2"/>
          <w:sz w:val="19"/>
        </w:rPr>
        <w:t xml:space="preserve">the </w:t>
      </w:r>
      <w:r w:rsidRPr="00444C61">
        <w:rPr>
          <w:color w:val="231F20"/>
          <w:spacing w:val="3"/>
          <w:sz w:val="19"/>
        </w:rPr>
        <w:t xml:space="preserve">staff person before they work independently with </w:t>
      </w:r>
      <w:r w:rsidRPr="00444C61">
        <w:rPr>
          <w:color w:val="231F20"/>
          <w:spacing w:val="4"/>
          <w:sz w:val="19"/>
        </w:rPr>
        <w:t>survivors.</w:t>
      </w:r>
    </w:p>
    <w:p w:rsidR="000616CA" w:rsidRPr="00444C61" w:rsidRDefault="000616CA" w:rsidP="000616CA">
      <w:pPr>
        <w:pStyle w:val="ListParagraph"/>
        <w:numPr>
          <w:ilvl w:val="0"/>
          <w:numId w:val="1"/>
        </w:numPr>
        <w:tabs>
          <w:tab w:val="left" w:pos="770"/>
        </w:tabs>
        <w:spacing w:before="89" w:line="268" w:lineRule="auto"/>
        <w:ind w:right="439"/>
        <w:rPr>
          <w:sz w:val="19"/>
        </w:rPr>
      </w:pPr>
      <w:r w:rsidRPr="00444C61">
        <w:rPr>
          <w:b/>
          <w:color w:val="231F20"/>
          <w:sz w:val="19"/>
        </w:rPr>
        <w:t xml:space="preserve">34 </w:t>
      </w:r>
      <w:r w:rsidRPr="00444C61">
        <w:rPr>
          <w:b/>
          <w:color w:val="231F20"/>
          <w:spacing w:val="3"/>
          <w:sz w:val="19"/>
        </w:rPr>
        <w:t xml:space="preserve">points </w:t>
      </w:r>
      <w:r w:rsidRPr="00444C61">
        <w:rPr>
          <w:b/>
          <w:color w:val="231F20"/>
          <w:spacing w:val="2"/>
          <w:sz w:val="19"/>
        </w:rPr>
        <w:t xml:space="preserve">and </w:t>
      </w:r>
      <w:r w:rsidRPr="00444C61">
        <w:rPr>
          <w:b/>
          <w:color w:val="231F20"/>
          <w:spacing w:val="3"/>
          <w:sz w:val="19"/>
        </w:rPr>
        <w:t xml:space="preserve">below: </w:t>
      </w:r>
      <w:r w:rsidRPr="00444C61">
        <w:rPr>
          <w:color w:val="231F20"/>
          <w:spacing w:val="3"/>
          <w:sz w:val="19"/>
        </w:rPr>
        <w:t xml:space="preserve">Scores </w:t>
      </w:r>
      <w:r w:rsidRPr="00444C61">
        <w:rPr>
          <w:color w:val="231F20"/>
          <w:sz w:val="19"/>
        </w:rPr>
        <w:t xml:space="preserve">in </w:t>
      </w:r>
      <w:r w:rsidRPr="00444C61">
        <w:rPr>
          <w:color w:val="231F20"/>
          <w:spacing w:val="3"/>
          <w:sz w:val="19"/>
        </w:rPr>
        <w:t xml:space="preserve">this range indicate that </w:t>
      </w:r>
      <w:r w:rsidRPr="00444C61">
        <w:rPr>
          <w:color w:val="231F20"/>
          <w:sz w:val="19"/>
        </w:rPr>
        <w:t xml:space="preserve">an </w:t>
      </w:r>
      <w:r w:rsidRPr="00444C61">
        <w:rPr>
          <w:color w:val="231F20"/>
          <w:spacing w:val="3"/>
          <w:sz w:val="19"/>
        </w:rPr>
        <w:t xml:space="preserve">individual </w:t>
      </w:r>
      <w:r w:rsidRPr="00444C61">
        <w:rPr>
          <w:color w:val="231F20"/>
          <w:sz w:val="19"/>
        </w:rPr>
        <w:t xml:space="preserve">is </w:t>
      </w:r>
      <w:r w:rsidRPr="00444C61">
        <w:rPr>
          <w:color w:val="231F20"/>
          <w:spacing w:val="2"/>
          <w:sz w:val="19"/>
        </w:rPr>
        <w:t xml:space="preserve">not </w:t>
      </w:r>
      <w:r w:rsidRPr="00444C61">
        <w:rPr>
          <w:color w:val="231F20"/>
          <w:spacing w:val="3"/>
          <w:sz w:val="19"/>
        </w:rPr>
        <w:t xml:space="preserve">ready </w:t>
      </w:r>
      <w:r w:rsidRPr="00444C61">
        <w:rPr>
          <w:color w:val="231F20"/>
          <w:sz w:val="19"/>
        </w:rPr>
        <w:t xml:space="preserve">to </w:t>
      </w:r>
      <w:r w:rsidRPr="00444C61">
        <w:rPr>
          <w:color w:val="231F20"/>
          <w:spacing w:val="3"/>
          <w:sz w:val="19"/>
        </w:rPr>
        <w:t xml:space="preserve">work with </w:t>
      </w:r>
      <w:r w:rsidRPr="00444C61">
        <w:rPr>
          <w:color w:val="231F20"/>
          <w:spacing w:val="4"/>
          <w:sz w:val="19"/>
        </w:rPr>
        <w:t xml:space="preserve">survivors. </w:t>
      </w:r>
      <w:r w:rsidRPr="00444C61">
        <w:rPr>
          <w:color w:val="231F20"/>
          <w:spacing w:val="3"/>
          <w:sz w:val="19"/>
        </w:rPr>
        <w:t xml:space="preserve">Managers </w:t>
      </w:r>
      <w:r w:rsidRPr="00444C61">
        <w:rPr>
          <w:color w:val="231F20"/>
          <w:spacing w:val="2"/>
          <w:sz w:val="19"/>
        </w:rPr>
        <w:t xml:space="preserve">and </w:t>
      </w:r>
      <w:r w:rsidRPr="00444C61">
        <w:rPr>
          <w:color w:val="231F20"/>
          <w:spacing w:val="3"/>
          <w:sz w:val="19"/>
        </w:rPr>
        <w:t xml:space="preserve">supervisors should work independently with </w:t>
      </w:r>
      <w:r w:rsidRPr="00444C61">
        <w:rPr>
          <w:color w:val="231F20"/>
          <w:sz w:val="19"/>
        </w:rPr>
        <w:t xml:space="preserve">a </w:t>
      </w:r>
      <w:r w:rsidRPr="00444C61">
        <w:rPr>
          <w:color w:val="231F20"/>
          <w:spacing w:val="3"/>
          <w:sz w:val="19"/>
        </w:rPr>
        <w:t xml:space="preserve">staff member </w:t>
      </w:r>
      <w:r w:rsidRPr="00444C61">
        <w:rPr>
          <w:color w:val="231F20"/>
          <w:spacing w:val="2"/>
          <w:sz w:val="19"/>
        </w:rPr>
        <w:t xml:space="preserve">who </w:t>
      </w:r>
      <w:r w:rsidRPr="00444C61">
        <w:rPr>
          <w:color w:val="231F20"/>
          <w:spacing w:val="3"/>
          <w:sz w:val="19"/>
        </w:rPr>
        <w:t xml:space="preserve">scores below </w:t>
      </w:r>
      <w:r w:rsidRPr="00444C61">
        <w:rPr>
          <w:color w:val="231F20"/>
          <w:sz w:val="19"/>
        </w:rPr>
        <w:t xml:space="preserve">34 to </w:t>
      </w:r>
      <w:r w:rsidRPr="00444C61">
        <w:rPr>
          <w:color w:val="231F20"/>
          <w:spacing w:val="4"/>
          <w:sz w:val="19"/>
        </w:rPr>
        <w:t xml:space="preserve">address </w:t>
      </w:r>
      <w:r w:rsidRPr="00444C61">
        <w:rPr>
          <w:color w:val="231F20"/>
          <w:spacing w:val="3"/>
          <w:sz w:val="19"/>
        </w:rPr>
        <w:t xml:space="preserve">negative beliefs </w:t>
      </w:r>
      <w:r w:rsidRPr="00444C61">
        <w:rPr>
          <w:color w:val="231F20"/>
          <w:spacing w:val="2"/>
          <w:sz w:val="19"/>
        </w:rPr>
        <w:t xml:space="preserve">and </w:t>
      </w:r>
      <w:r w:rsidRPr="00444C61">
        <w:rPr>
          <w:color w:val="231F20"/>
          <w:spacing w:val="3"/>
          <w:sz w:val="19"/>
        </w:rPr>
        <w:t xml:space="preserve">attitudes </w:t>
      </w:r>
      <w:r w:rsidRPr="00444C61">
        <w:rPr>
          <w:color w:val="231F20"/>
          <w:spacing w:val="2"/>
          <w:sz w:val="19"/>
        </w:rPr>
        <w:t xml:space="preserve">and </w:t>
      </w:r>
      <w:r w:rsidRPr="00444C61">
        <w:rPr>
          <w:color w:val="231F20"/>
          <w:spacing w:val="3"/>
          <w:sz w:val="19"/>
        </w:rPr>
        <w:t xml:space="preserve">identify immediate actions </w:t>
      </w:r>
      <w:r w:rsidRPr="00444C61">
        <w:rPr>
          <w:color w:val="231F20"/>
          <w:sz w:val="19"/>
        </w:rPr>
        <w:t xml:space="preserve">to </w:t>
      </w:r>
      <w:r w:rsidRPr="00444C61">
        <w:rPr>
          <w:color w:val="231F20"/>
          <w:spacing w:val="3"/>
          <w:sz w:val="19"/>
        </w:rPr>
        <w:t xml:space="preserve">address </w:t>
      </w:r>
      <w:r w:rsidRPr="00444C61">
        <w:rPr>
          <w:color w:val="231F20"/>
          <w:spacing w:val="4"/>
          <w:sz w:val="19"/>
        </w:rPr>
        <w:t>them.</w:t>
      </w:r>
    </w:p>
    <w:p w:rsidR="000616CA" w:rsidRPr="00444C61" w:rsidRDefault="000616CA" w:rsidP="000616CA">
      <w:pPr>
        <w:pStyle w:val="BodyText"/>
        <w:spacing w:before="6"/>
        <w:rPr>
          <w:sz w:val="34"/>
        </w:rPr>
      </w:pPr>
    </w:p>
    <w:p w:rsidR="000616CA" w:rsidRPr="00444C61" w:rsidRDefault="000616CA" w:rsidP="000616CA">
      <w:pPr>
        <w:pStyle w:val="BodyText"/>
        <w:spacing w:line="268" w:lineRule="auto"/>
        <w:ind w:left="770"/>
      </w:pPr>
      <w:r w:rsidRPr="00444C61">
        <w:rPr>
          <w:noProof/>
        </w:rPr>
        <w:drawing>
          <wp:anchor distT="0" distB="0" distL="0" distR="0" simplePos="0" relativeHeight="251664384" behindDoc="0" locked="0" layoutInCell="1" allowOverlap="1" wp14:anchorId="3C69FE49" wp14:editId="494D06FE">
            <wp:simplePos x="0" y="0"/>
            <wp:positionH relativeFrom="page">
              <wp:posOffset>621826</wp:posOffset>
            </wp:positionH>
            <wp:positionV relativeFrom="paragraph">
              <wp:posOffset>32361</wp:posOffset>
            </wp:positionV>
            <wp:extent cx="146850" cy="109931"/>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7" cstate="print"/>
                    <a:stretch>
                      <a:fillRect/>
                    </a:stretch>
                  </pic:blipFill>
                  <pic:spPr>
                    <a:xfrm>
                      <a:off x="0" y="0"/>
                      <a:ext cx="146850" cy="109931"/>
                    </a:xfrm>
                    <a:prstGeom prst="rect">
                      <a:avLst/>
                    </a:prstGeom>
                  </pic:spPr>
                </pic:pic>
              </a:graphicData>
            </a:graphic>
          </wp:anchor>
        </w:drawing>
      </w:r>
      <w:r w:rsidRPr="00444C61">
        <w:rPr>
          <w:b/>
          <w:color w:val="231F20"/>
        </w:rPr>
        <w:t xml:space="preserve">Step 6: </w:t>
      </w:r>
      <w:r w:rsidRPr="00444C61">
        <w:rPr>
          <w:color w:val="231F20"/>
        </w:rPr>
        <w:t>Explain the results. Supervisors should communicate scores to staff as soon as possible to decrease their anxiety about performance.</w:t>
      </w:r>
    </w:p>
    <w:p w:rsidR="000616CA" w:rsidRPr="00444C61" w:rsidRDefault="000616CA" w:rsidP="000616CA">
      <w:pPr>
        <w:spacing w:line="268" w:lineRule="auto"/>
        <w:sectPr w:rsidR="000616CA" w:rsidRPr="00444C61">
          <w:pgSz w:w="12240" w:h="15840"/>
          <w:pgMar w:top="600" w:right="440" w:bottom="460" w:left="580" w:header="0" w:footer="262" w:gutter="0"/>
          <w:cols w:space="720"/>
        </w:sectPr>
      </w:pPr>
    </w:p>
    <w:p w:rsidR="000616CA" w:rsidRPr="00444C61" w:rsidRDefault="000616CA" w:rsidP="000616CA">
      <w:pPr>
        <w:pStyle w:val="BodyText"/>
        <w:spacing w:before="82" w:line="268" w:lineRule="auto"/>
        <w:ind w:left="280" w:right="949"/>
      </w:pPr>
      <w:r w:rsidRPr="00444C61">
        <w:rPr>
          <w:color w:val="231F20"/>
        </w:rPr>
        <w:lastRenderedPageBreak/>
        <w:t>Review the results with the staff member and discuss any troubling attitudes that were revealed during the self-assessment.</w:t>
      </w:r>
    </w:p>
    <w:p w:rsidR="000616CA" w:rsidRPr="00444C61" w:rsidRDefault="000616CA" w:rsidP="000616CA">
      <w:pPr>
        <w:pStyle w:val="BodyText"/>
        <w:spacing w:before="180" w:line="268" w:lineRule="auto"/>
        <w:ind w:left="280" w:right="109"/>
      </w:pPr>
      <w:r w:rsidRPr="00444C61">
        <w:rPr>
          <w:color w:val="231F20"/>
        </w:rPr>
        <w:t>If the staff member does not meet or only partially meets the required attitudes, it may not be appropriate for the individual to work with survivors until she/he undergoes personal reflection on the harmful values and/or beliefs discovered during the attitude assessment. If this is the case, supervisors will need to handle this conversation carefully and sensitively. In some settings, it may be required to discuss these results with a senior manager and get advice on how to approach the conversation.</w:t>
      </w:r>
    </w:p>
    <w:p w:rsidR="000616CA" w:rsidRPr="00444C61" w:rsidRDefault="000616CA" w:rsidP="000616CA">
      <w:pPr>
        <w:pStyle w:val="BodyText"/>
        <w:spacing w:before="180" w:line="268" w:lineRule="auto"/>
        <w:ind w:left="280" w:right="330"/>
      </w:pPr>
      <w:r w:rsidRPr="00444C61">
        <w:rPr>
          <w:color w:val="231F20"/>
        </w:rPr>
        <w:t>Following the initial assessment of the staff member’s attitudes, the Survivor-Centred Attitude Scale can be administered periodically before individuals are determined to be ‘ready’ to work with survivors. This provides an opportunity to discover whether caseworkers’ attitudes are changing, in either positive or negative ways.</w:t>
      </w:r>
    </w:p>
    <w:p w:rsidR="000616CA" w:rsidRPr="00444C61" w:rsidRDefault="000616CA" w:rsidP="000616CA">
      <w:pPr>
        <w:pStyle w:val="BodyText"/>
        <w:spacing w:before="180" w:line="268" w:lineRule="auto"/>
        <w:ind w:left="280" w:right="109"/>
      </w:pPr>
      <w:r w:rsidRPr="00444C61">
        <w:rPr>
          <w:color w:val="231F20"/>
        </w:rPr>
        <w:t>Remember - these are sample statements that an be adjusted according to the context and populations your organizationis serving. Be sure that there is agreement within your program of what statements will be used for the assessment.</w:t>
      </w:r>
    </w:p>
    <w:p w:rsidR="000616CA" w:rsidRPr="00444C61" w:rsidRDefault="000616CA" w:rsidP="000616CA">
      <w:pPr>
        <w:spacing w:line="268" w:lineRule="auto"/>
        <w:sectPr w:rsidR="000616CA" w:rsidRPr="00444C61">
          <w:pgSz w:w="12240" w:h="15840"/>
          <w:pgMar w:top="580" w:right="620" w:bottom="520" w:left="440" w:header="0" w:footer="322" w:gutter="0"/>
          <w:cols w:space="720"/>
        </w:sectPr>
      </w:pPr>
    </w:p>
    <w:p w:rsidR="000616CA" w:rsidRPr="00444C61" w:rsidRDefault="000616CA" w:rsidP="000616CA">
      <w:pPr>
        <w:spacing w:before="111"/>
        <w:ind w:left="3627"/>
        <w:rPr>
          <w:b/>
          <w:bCs/>
          <w:sz w:val="15"/>
        </w:rPr>
      </w:pPr>
      <w:r w:rsidRPr="00444C61">
        <w:rPr>
          <w:b/>
          <w:bCs/>
          <w:color w:val="231F20"/>
          <w:sz w:val="26"/>
        </w:rPr>
        <w:lastRenderedPageBreak/>
        <w:t>ATTITUDE STATEMENTS</w:t>
      </w:r>
      <w:r w:rsidRPr="00444C61">
        <w:rPr>
          <w:b/>
          <w:bCs/>
          <w:color w:val="231F20"/>
          <w:position w:val="9"/>
          <w:sz w:val="15"/>
        </w:rPr>
        <w:t>70</w:t>
      </w:r>
    </w:p>
    <w:p w:rsidR="000616CA" w:rsidRPr="00444C61" w:rsidRDefault="000616CA" w:rsidP="000616CA">
      <w:pPr>
        <w:pStyle w:val="BodyText"/>
        <w:rPr>
          <w:b/>
          <w:sz w:val="20"/>
        </w:rPr>
      </w:pPr>
    </w:p>
    <w:p w:rsidR="000616CA" w:rsidRPr="00444C61" w:rsidRDefault="000616CA" w:rsidP="000616CA">
      <w:pPr>
        <w:pStyle w:val="BodyText"/>
        <w:spacing w:before="8"/>
        <w:rPr>
          <w:b/>
          <w:sz w:val="18"/>
        </w:rPr>
      </w:pPr>
    </w:p>
    <w:tbl>
      <w:tblPr>
        <w:tblW w:w="0" w:type="auto"/>
        <w:tblInd w:w="12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5760"/>
        <w:gridCol w:w="1260"/>
        <w:gridCol w:w="1260"/>
        <w:gridCol w:w="1260"/>
        <w:gridCol w:w="1260"/>
      </w:tblGrid>
      <w:tr w:rsidR="000616CA" w:rsidRPr="00444C61" w:rsidTr="009B4ACB">
        <w:trPr>
          <w:trHeight w:hRule="exact" w:val="810"/>
        </w:trPr>
        <w:tc>
          <w:tcPr>
            <w:tcW w:w="5760" w:type="dxa"/>
          </w:tcPr>
          <w:p w:rsidR="000616CA" w:rsidRPr="00444C61" w:rsidRDefault="000616CA" w:rsidP="009B4ACB">
            <w:pPr>
              <w:pStyle w:val="TableParagraph"/>
              <w:rPr>
                <w:b/>
              </w:rPr>
            </w:pPr>
          </w:p>
          <w:p w:rsidR="000616CA" w:rsidRPr="00444C61" w:rsidRDefault="000616CA" w:rsidP="009B4ACB">
            <w:pPr>
              <w:pStyle w:val="TableParagraph"/>
              <w:ind w:left="1759"/>
              <w:rPr>
                <w:b/>
                <w:sz w:val="19"/>
              </w:rPr>
            </w:pPr>
            <w:r w:rsidRPr="00444C61">
              <w:rPr>
                <w:b/>
                <w:color w:val="231F20"/>
                <w:sz w:val="19"/>
              </w:rPr>
              <w:t>ATTITUDE STATEMENTS</w:t>
            </w:r>
          </w:p>
        </w:tc>
        <w:tc>
          <w:tcPr>
            <w:tcW w:w="1260" w:type="dxa"/>
          </w:tcPr>
          <w:p w:rsidR="000616CA" w:rsidRPr="00444C61" w:rsidRDefault="000616CA" w:rsidP="009B4ACB">
            <w:pPr>
              <w:pStyle w:val="TableParagraph"/>
              <w:spacing w:before="134"/>
              <w:ind w:left="350" w:right="227" w:hanging="116"/>
              <w:rPr>
                <w:b/>
                <w:sz w:val="19"/>
              </w:rPr>
            </w:pPr>
            <w:r w:rsidRPr="00444C61">
              <w:rPr>
                <w:b/>
                <w:color w:val="231F20"/>
                <w:sz w:val="19"/>
              </w:rPr>
              <w:t>Strongly Agree</w:t>
            </w:r>
          </w:p>
        </w:tc>
        <w:tc>
          <w:tcPr>
            <w:tcW w:w="1260" w:type="dxa"/>
          </w:tcPr>
          <w:p w:rsidR="000616CA" w:rsidRPr="00444C61" w:rsidRDefault="000616CA" w:rsidP="009B4ACB">
            <w:pPr>
              <w:pStyle w:val="TableParagraph"/>
              <w:rPr>
                <w:b/>
              </w:rPr>
            </w:pPr>
          </w:p>
          <w:p w:rsidR="000616CA" w:rsidRPr="00444C61" w:rsidRDefault="000616CA" w:rsidP="009B4ACB">
            <w:pPr>
              <w:pStyle w:val="TableParagraph"/>
              <w:ind w:left="201" w:right="197"/>
              <w:jc w:val="center"/>
              <w:rPr>
                <w:b/>
                <w:sz w:val="19"/>
              </w:rPr>
            </w:pPr>
            <w:r w:rsidRPr="00444C61">
              <w:rPr>
                <w:b/>
                <w:color w:val="231F20"/>
                <w:sz w:val="19"/>
              </w:rPr>
              <w:t>Agree</w:t>
            </w:r>
          </w:p>
        </w:tc>
        <w:tc>
          <w:tcPr>
            <w:tcW w:w="1260" w:type="dxa"/>
          </w:tcPr>
          <w:p w:rsidR="000616CA" w:rsidRPr="00444C61" w:rsidRDefault="000616CA" w:rsidP="009B4ACB">
            <w:pPr>
              <w:pStyle w:val="TableParagraph"/>
              <w:rPr>
                <w:b/>
              </w:rPr>
            </w:pPr>
          </w:p>
          <w:p w:rsidR="000616CA" w:rsidRPr="00444C61" w:rsidRDefault="000616CA" w:rsidP="009B4ACB">
            <w:pPr>
              <w:pStyle w:val="TableParagraph"/>
              <w:ind w:left="201" w:right="197"/>
              <w:jc w:val="center"/>
              <w:rPr>
                <w:b/>
                <w:sz w:val="19"/>
              </w:rPr>
            </w:pPr>
            <w:r w:rsidRPr="00444C61">
              <w:rPr>
                <w:b/>
                <w:color w:val="231F20"/>
                <w:sz w:val="19"/>
              </w:rPr>
              <w:t>Disagree</w:t>
            </w:r>
          </w:p>
        </w:tc>
        <w:tc>
          <w:tcPr>
            <w:tcW w:w="1260" w:type="dxa"/>
          </w:tcPr>
          <w:p w:rsidR="000616CA" w:rsidRPr="00444C61" w:rsidRDefault="000616CA" w:rsidP="009B4ACB">
            <w:pPr>
              <w:pStyle w:val="TableParagraph"/>
              <w:spacing w:before="134"/>
              <w:ind w:left="202" w:firstLine="21"/>
              <w:rPr>
                <w:b/>
                <w:sz w:val="19"/>
              </w:rPr>
            </w:pPr>
            <w:r w:rsidRPr="00444C61">
              <w:rPr>
                <w:b/>
                <w:color w:val="231F20"/>
                <w:sz w:val="19"/>
              </w:rPr>
              <w:t>Strongly Disagree</w:t>
            </w:r>
          </w:p>
        </w:tc>
      </w:tr>
      <w:tr w:rsidR="000616CA" w:rsidRPr="00444C61" w:rsidTr="009B4ACB">
        <w:trPr>
          <w:trHeight w:hRule="exact" w:val="765"/>
        </w:trPr>
        <w:tc>
          <w:tcPr>
            <w:tcW w:w="5760" w:type="dxa"/>
          </w:tcPr>
          <w:p w:rsidR="000616CA" w:rsidRPr="00444C61" w:rsidRDefault="000616CA" w:rsidP="009B4ACB">
            <w:pPr>
              <w:pStyle w:val="TableParagraph"/>
              <w:spacing w:before="112"/>
              <w:ind w:left="170" w:right="373"/>
              <w:rPr>
                <w:sz w:val="19"/>
              </w:rPr>
            </w:pPr>
            <w:r w:rsidRPr="00444C61">
              <w:rPr>
                <w:color w:val="231F20"/>
                <w:sz w:val="19"/>
              </w:rPr>
              <w:t xml:space="preserve">If </w:t>
            </w:r>
            <w:r w:rsidRPr="00444C61">
              <w:rPr>
                <w:color w:val="231F20"/>
                <w:spacing w:val="3"/>
                <w:sz w:val="19"/>
              </w:rPr>
              <w:t xml:space="preserve">women </w:t>
            </w:r>
            <w:r w:rsidRPr="00444C61">
              <w:rPr>
                <w:color w:val="231F20"/>
                <w:sz w:val="19"/>
              </w:rPr>
              <w:t xml:space="preserve">or </w:t>
            </w:r>
            <w:r w:rsidRPr="00444C61">
              <w:rPr>
                <w:color w:val="231F20"/>
                <w:spacing w:val="3"/>
                <w:sz w:val="19"/>
              </w:rPr>
              <w:t xml:space="preserve">girls </w:t>
            </w:r>
            <w:r w:rsidRPr="00444C61">
              <w:rPr>
                <w:color w:val="231F20"/>
                <w:spacing w:val="2"/>
                <w:sz w:val="19"/>
              </w:rPr>
              <w:t xml:space="preserve">who </w:t>
            </w:r>
            <w:r w:rsidRPr="00444C61">
              <w:rPr>
                <w:color w:val="231F20"/>
                <w:spacing w:val="3"/>
                <w:sz w:val="19"/>
              </w:rPr>
              <w:t xml:space="preserve">behave inappropriately </w:t>
            </w:r>
            <w:r w:rsidRPr="00444C61">
              <w:rPr>
                <w:color w:val="231F20"/>
                <w:spacing w:val="2"/>
                <w:sz w:val="19"/>
              </w:rPr>
              <w:t xml:space="preserve">are </w:t>
            </w:r>
            <w:r w:rsidRPr="00444C61">
              <w:rPr>
                <w:color w:val="231F20"/>
                <w:spacing w:val="4"/>
                <w:sz w:val="19"/>
              </w:rPr>
              <w:t xml:space="preserve">raped, </w:t>
            </w:r>
            <w:r w:rsidRPr="00444C61">
              <w:rPr>
                <w:color w:val="231F20"/>
                <w:sz w:val="19"/>
              </w:rPr>
              <w:t xml:space="preserve">it is </w:t>
            </w:r>
            <w:r w:rsidRPr="00444C61">
              <w:rPr>
                <w:color w:val="231F20"/>
                <w:spacing w:val="3"/>
                <w:sz w:val="19"/>
              </w:rPr>
              <w:t>their</w:t>
            </w:r>
            <w:r w:rsidRPr="00444C61">
              <w:rPr>
                <w:color w:val="231F20"/>
                <w:spacing w:val="35"/>
                <w:sz w:val="19"/>
              </w:rPr>
              <w:t xml:space="preserve"> </w:t>
            </w:r>
            <w:r w:rsidRPr="00444C61">
              <w:rPr>
                <w:color w:val="231F20"/>
                <w:spacing w:val="4"/>
                <w:sz w:val="19"/>
              </w:rPr>
              <w:t>fault.</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65"/>
        </w:trPr>
        <w:tc>
          <w:tcPr>
            <w:tcW w:w="5760" w:type="dxa"/>
          </w:tcPr>
          <w:p w:rsidR="000616CA" w:rsidRPr="00444C61" w:rsidRDefault="000616CA" w:rsidP="009B4ACB">
            <w:pPr>
              <w:pStyle w:val="TableParagraph"/>
              <w:spacing w:before="112"/>
              <w:ind w:left="170"/>
              <w:rPr>
                <w:sz w:val="19"/>
              </w:rPr>
            </w:pPr>
            <w:r w:rsidRPr="00444C61">
              <w:rPr>
                <w:color w:val="231F20"/>
                <w:sz w:val="19"/>
              </w:rPr>
              <w:t>Survivors of GBV have the right to get help for what has happened to them.</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4</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2"/>
              <w:rPr>
                <w:b/>
                <w:sz w:val="20"/>
              </w:rPr>
            </w:pPr>
          </w:p>
          <w:p w:rsidR="000616CA" w:rsidRPr="00444C61" w:rsidRDefault="000616CA" w:rsidP="009B4ACB">
            <w:pPr>
              <w:pStyle w:val="TableParagraph"/>
              <w:ind w:right="563"/>
              <w:jc w:val="right"/>
              <w:rPr>
                <w:sz w:val="19"/>
              </w:rPr>
            </w:pPr>
            <w:r w:rsidRPr="00444C61">
              <w:rPr>
                <w:color w:val="231F20"/>
                <w:sz w:val="19"/>
              </w:rPr>
              <w:t>1</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Pr>
                <w:sz w:val="19"/>
              </w:rPr>
            </w:pPr>
            <w:r w:rsidRPr="00444C61">
              <w:rPr>
                <w:color w:val="231F20"/>
                <w:sz w:val="19"/>
              </w:rPr>
              <w:t>If a survivor can’t answer the questions asked during an interview, they are making up the incident.</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684"/>
        </w:trPr>
        <w:tc>
          <w:tcPr>
            <w:tcW w:w="5760" w:type="dxa"/>
          </w:tcPr>
          <w:p w:rsidR="000616CA" w:rsidRPr="00444C61" w:rsidRDefault="000616CA" w:rsidP="009B4ACB">
            <w:pPr>
              <w:pStyle w:val="TableParagraph"/>
              <w:spacing w:before="201"/>
              <w:ind w:left="170"/>
              <w:rPr>
                <w:sz w:val="19"/>
              </w:rPr>
            </w:pPr>
            <w:r w:rsidRPr="00444C61">
              <w:rPr>
                <w:color w:val="231F20"/>
                <w:sz w:val="19"/>
              </w:rPr>
              <w:t>Acts of GBV are always the fault of the perpetrator.</w:t>
            </w:r>
          </w:p>
        </w:tc>
        <w:tc>
          <w:tcPr>
            <w:tcW w:w="1260" w:type="dxa"/>
          </w:tcPr>
          <w:p w:rsidR="000616CA" w:rsidRPr="00444C61" w:rsidRDefault="000616CA" w:rsidP="009B4ACB">
            <w:pPr>
              <w:pStyle w:val="TableParagraph"/>
              <w:spacing w:before="201"/>
              <w:jc w:val="center"/>
              <w:rPr>
                <w:sz w:val="19"/>
              </w:rPr>
            </w:pPr>
            <w:r w:rsidRPr="00444C61">
              <w:rPr>
                <w:color w:val="231F20"/>
                <w:sz w:val="19"/>
              </w:rPr>
              <w:t>4</w:t>
            </w:r>
          </w:p>
        </w:tc>
        <w:tc>
          <w:tcPr>
            <w:tcW w:w="1260" w:type="dxa"/>
          </w:tcPr>
          <w:p w:rsidR="000616CA" w:rsidRPr="00444C61" w:rsidRDefault="000616CA" w:rsidP="009B4ACB">
            <w:pPr>
              <w:pStyle w:val="TableParagraph"/>
              <w:spacing w:before="201"/>
              <w:jc w:val="center"/>
              <w:rPr>
                <w:sz w:val="19"/>
              </w:rPr>
            </w:pPr>
            <w:r w:rsidRPr="00444C61">
              <w:rPr>
                <w:color w:val="231F20"/>
                <w:sz w:val="19"/>
              </w:rPr>
              <w:t>3</w:t>
            </w:r>
          </w:p>
        </w:tc>
        <w:tc>
          <w:tcPr>
            <w:tcW w:w="1260" w:type="dxa"/>
          </w:tcPr>
          <w:p w:rsidR="000616CA" w:rsidRPr="00444C61" w:rsidRDefault="000616CA" w:rsidP="009B4ACB">
            <w:pPr>
              <w:pStyle w:val="TableParagraph"/>
              <w:spacing w:before="201"/>
              <w:jc w:val="center"/>
              <w:rPr>
                <w:sz w:val="19"/>
              </w:rPr>
            </w:pPr>
            <w:r w:rsidRPr="00444C61">
              <w:rPr>
                <w:color w:val="231F20"/>
                <w:sz w:val="19"/>
              </w:rPr>
              <w:t>2</w:t>
            </w:r>
          </w:p>
        </w:tc>
        <w:tc>
          <w:tcPr>
            <w:tcW w:w="1260" w:type="dxa"/>
          </w:tcPr>
          <w:p w:rsidR="000616CA" w:rsidRPr="00444C61" w:rsidRDefault="000616CA" w:rsidP="009B4ACB">
            <w:pPr>
              <w:pStyle w:val="TableParagraph"/>
              <w:spacing w:before="201"/>
              <w:ind w:right="563"/>
              <w:jc w:val="right"/>
              <w:rPr>
                <w:sz w:val="19"/>
              </w:rPr>
            </w:pPr>
            <w:r w:rsidRPr="00444C61">
              <w:rPr>
                <w:color w:val="231F20"/>
                <w:sz w:val="19"/>
              </w:rPr>
              <w:t>1</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Women often say they have been raped or abused so that they can get attention or money.</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A woman causes her husband’s violence because of her own behavior.</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There are times when a husband is justified in beating his wife.</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Pr>
                <w:sz w:val="19"/>
              </w:rPr>
            </w:pPr>
            <w:r w:rsidRPr="00444C61">
              <w:rPr>
                <w:color w:val="231F20"/>
                <w:sz w:val="19"/>
              </w:rPr>
              <w:t>A person who forces another person to have sex is just someone who cannot control their sexual desire.</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Pr>
                <w:sz w:val="19"/>
              </w:rPr>
            </w:pPr>
            <w:r w:rsidRPr="00444C61">
              <w:rPr>
                <w:color w:val="231F20"/>
                <w:sz w:val="19"/>
              </w:rPr>
              <w:t>Intimate partner violence is a family matter and should be handled within the family.</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A survivor should have the right to make a decision about what actions are best for her/him.</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4</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1</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Most men beat their wives only after they have been drinking or using drugs.</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A GBV survivor should always report their case to the police or other justice authorities.</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Pr>
                <w:sz w:val="19"/>
              </w:rPr>
            </w:pPr>
            <w:r w:rsidRPr="00444C61">
              <w:rPr>
                <w:color w:val="231F20"/>
                <w:sz w:val="19"/>
              </w:rPr>
              <w:t>Women should be allowed to communicate to their sexual partners when they do and do not want to have sex.</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4</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1</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373"/>
              <w:rPr>
                <w:sz w:val="19"/>
              </w:rPr>
            </w:pPr>
            <w:r w:rsidRPr="00444C61">
              <w:rPr>
                <w:color w:val="231F20"/>
                <w:sz w:val="19"/>
              </w:rPr>
              <w:t>It is my job as a caseworker to determine whether a survivor is telling the truth.</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1</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2</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jc w:val="center"/>
              <w:rPr>
                <w:sz w:val="19"/>
              </w:rPr>
            </w:pPr>
            <w:r w:rsidRPr="00444C61">
              <w:rPr>
                <w:color w:val="231F20"/>
                <w:sz w:val="19"/>
              </w:rPr>
              <w:t>3</w:t>
            </w:r>
          </w:p>
        </w:tc>
        <w:tc>
          <w:tcPr>
            <w:tcW w:w="1260" w:type="dxa"/>
          </w:tcPr>
          <w:p w:rsidR="000616CA" w:rsidRPr="00444C61" w:rsidRDefault="000616CA" w:rsidP="009B4ACB">
            <w:pPr>
              <w:pStyle w:val="TableParagraph"/>
              <w:spacing w:before="5"/>
              <w:rPr>
                <w:b/>
                <w:sz w:val="21"/>
              </w:rPr>
            </w:pPr>
          </w:p>
          <w:p w:rsidR="000616CA" w:rsidRPr="00444C61" w:rsidRDefault="000616CA" w:rsidP="009B4ACB">
            <w:pPr>
              <w:pStyle w:val="TableParagraph"/>
              <w:ind w:right="563"/>
              <w:jc w:val="right"/>
              <w:rPr>
                <w:sz w:val="19"/>
              </w:rPr>
            </w:pPr>
            <w:r w:rsidRPr="00444C61">
              <w:rPr>
                <w:color w:val="231F20"/>
                <w:sz w:val="19"/>
              </w:rPr>
              <w:t>4</w:t>
            </w:r>
          </w:p>
        </w:tc>
      </w:tr>
      <w:tr w:rsidR="000616CA" w:rsidRPr="00444C61" w:rsidTr="009B4ACB">
        <w:trPr>
          <w:trHeight w:hRule="exact" w:val="795"/>
        </w:trPr>
        <w:tc>
          <w:tcPr>
            <w:tcW w:w="5760" w:type="dxa"/>
          </w:tcPr>
          <w:p w:rsidR="000616CA" w:rsidRPr="00444C61" w:rsidRDefault="000616CA" w:rsidP="009B4ACB">
            <w:pPr>
              <w:pStyle w:val="TableParagraph"/>
              <w:spacing w:before="112" w:line="268" w:lineRule="auto"/>
              <w:ind w:left="170" w:right="162"/>
              <w:rPr>
                <w:sz w:val="19"/>
              </w:rPr>
            </w:pPr>
            <w:r w:rsidRPr="00444C61">
              <w:rPr>
                <w:b/>
                <w:color w:val="231F20"/>
                <w:sz w:val="19"/>
              </w:rPr>
              <w:t xml:space="preserve">TOTAL SCORE </w:t>
            </w:r>
            <w:r w:rsidRPr="00444C61">
              <w:rPr>
                <w:color w:val="231F20"/>
                <w:sz w:val="19"/>
              </w:rPr>
              <w:t>(Supervisor should sum the total score in each column and then add these together for the total score).</w:t>
            </w:r>
          </w:p>
        </w:tc>
        <w:tc>
          <w:tcPr>
            <w:tcW w:w="1260" w:type="dxa"/>
          </w:tcPr>
          <w:p w:rsidR="000616CA" w:rsidRPr="00444C61" w:rsidRDefault="000616CA" w:rsidP="009B4ACB"/>
        </w:tc>
        <w:tc>
          <w:tcPr>
            <w:tcW w:w="1260" w:type="dxa"/>
          </w:tcPr>
          <w:p w:rsidR="000616CA" w:rsidRPr="00444C61" w:rsidRDefault="000616CA" w:rsidP="009B4ACB"/>
        </w:tc>
        <w:tc>
          <w:tcPr>
            <w:tcW w:w="1260" w:type="dxa"/>
          </w:tcPr>
          <w:p w:rsidR="000616CA" w:rsidRPr="00444C61" w:rsidRDefault="000616CA" w:rsidP="009B4ACB"/>
        </w:tc>
        <w:tc>
          <w:tcPr>
            <w:tcW w:w="1260" w:type="dxa"/>
          </w:tcPr>
          <w:p w:rsidR="000616CA" w:rsidRPr="00444C61" w:rsidRDefault="000616CA" w:rsidP="009B4ACB"/>
        </w:tc>
      </w:tr>
    </w:tbl>
    <w:p w:rsidR="000616CA" w:rsidRPr="00444C61" w:rsidRDefault="000616CA" w:rsidP="000616CA">
      <w:pPr>
        <w:pStyle w:val="BodyText"/>
        <w:rPr>
          <w:b/>
          <w:sz w:val="20"/>
        </w:rPr>
      </w:pPr>
    </w:p>
    <w:p w:rsidR="000616CA" w:rsidRPr="00444C61" w:rsidRDefault="000616CA" w:rsidP="000616CA">
      <w:pPr>
        <w:pStyle w:val="BodyText"/>
        <w:spacing w:before="9"/>
        <w:rPr>
          <w:b/>
          <w:sz w:val="22"/>
        </w:rPr>
      </w:pPr>
      <w:r w:rsidRPr="00444C61">
        <w:rPr>
          <w:noProof/>
        </w:rPr>
        <mc:AlternateContent>
          <mc:Choice Requires="wps">
            <w:drawing>
              <wp:anchor distT="0" distB="0" distL="0" distR="0" simplePos="0" relativeHeight="251666432" behindDoc="0" locked="0" layoutInCell="1" allowOverlap="1" wp14:anchorId="2B121B43" wp14:editId="70AC9CC6">
                <wp:simplePos x="0" y="0"/>
                <wp:positionH relativeFrom="page">
                  <wp:posOffset>457200</wp:posOffset>
                </wp:positionH>
                <wp:positionV relativeFrom="paragraph">
                  <wp:posOffset>204470</wp:posOffset>
                </wp:positionV>
                <wp:extent cx="914400" cy="0"/>
                <wp:effectExtent l="9525" t="8890" r="9525" b="10160"/>
                <wp:wrapTopAndBottom/>
                <wp:docPr id="6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44512" id="Line 21"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1pt" to="10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" strokecolor="#231f20" strokeweight="1pt">
                <w10:wrap type="topAndBottom" anchorx="page"/>
              </v:line>
            </w:pict>
          </mc:Fallback>
        </mc:AlternateContent>
      </w:r>
    </w:p>
    <w:p w:rsidR="000616CA" w:rsidRPr="00444C61" w:rsidRDefault="000616CA" w:rsidP="000616CA">
      <w:pPr>
        <w:spacing w:before="30" w:line="264" w:lineRule="auto"/>
        <w:ind w:left="570" w:right="715" w:hanging="270"/>
        <w:rPr>
          <w:sz w:val="16"/>
        </w:rPr>
      </w:pPr>
      <w:r w:rsidRPr="00444C61">
        <w:rPr>
          <w:color w:val="231F20"/>
          <w:sz w:val="16"/>
        </w:rPr>
        <w:t>70 The attitude statements can be adapted to the specific location and cultural context. Statements can also be added. Remember that if you add or change a statement, it will change the scoring system and you will then need to revise that accordingly.</w:t>
      </w:r>
    </w:p>
    <w:p w:rsidR="000616CA" w:rsidRPr="00444C61" w:rsidRDefault="000616CA" w:rsidP="000616CA">
      <w:pPr>
        <w:spacing w:line="264" w:lineRule="auto"/>
        <w:rPr>
          <w:sz w:val="16"/>
        </w:rPr>
        <w:sectPr w:rsidR="000616CA" w:rsidRPr="00444C61">
          <w:pgSz w:w="12240" w:h="15840"/>
          <w:pgMar w:top="600" w:right="440" w:bottom="520" w:left="600" w:header="0" w:footer="262" w:gutter="0"/>
          <w:cols w:space="720"/>
        </w:sectPr>
      </w:pPr>
    </w:p>
    <w:p w:rsidR="009D3197" w:rsidRDefault="000616CA">
      <w:bookmarkStart w:id="0" w:name="_GoBack"/>
      <w:bookmarkEnd w:id="0"/>
    </w:p>
    <w:sectPr w:rsidR="009D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naro">
    <w:altName w:val="Times New Roman"/>
    <w:charset w:val="00"/>
    <w:family w:val="auto"/>
    <w:pitch w:val="variable"/>
    <w:sig w:usb0="00000001" w:usb1="00000001" w:usb2="00000000" w:usb3="00000000" w:csb0="00000093" w:csb1="00000000"/>
  </w:font>
  <w:font w:name="OpenSans-Semibold">
    <w:altName w:val="Times New Roman"/>
    <w:charset w:val="00"/>
    <w:family w:val="auto"/>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1D0BB4"/>
    <w:multiLevelType w:val="hybridMultilevel"/>
    <w:tmpl w:val="42808638"/>
    <w:lvl w:ilvl="0" w:tplc="87FAF43E">
      <w:start w:val="1"/>
      <w:numFmt w:val="decimal"/>
      <w:lvlText w:val="%1."/>
      <w:lvlJc w:val="left"/>
      <w:pPr>
        <w:ind w:left="770" w:hanging="360"/>
        <w:jc w:val="left"/>
      </w:pPr>
      <w:rPr>
        <w:rFonts w:ascii="Open Sans" w:eastAsia="Open Sans" w:hAnsi="Open Sans" w:cs="Open Sans" w:hint="default"/>
        <w:color w:val="231F20"/>
        <w:spacing w:val="-2"/>
        <w:w w:val="100"/>
        <w:sz w:val="19"/>
        <w:szCs w:val="19"/>
      </w:rPr>
    </w:lvl>
    <w:lvl w:ilvl="1" w:tplc="A7F4C7F0">
      <w:numFmt w:val="bullet"/>
      <w:lvlText w:val="•"/>
      <w:lvlJc w:val="left"/>
      <w:pPr>
        <w:ind w:left="1824" w:hanging="360"/>
      </w:pPr>
      <w:rPr>
        <w:rFonts w:hint="default"/>
      </w:rPr>
    </w:lvl>
    <w:lvl w:ilvl="2" w:tplc="FA261C80">
      <w:numFmt w:val="bullet"/>
      <w:lvlText w:val="•"/>
      <w:lvlJc w:val="left"/>
      <w:pPr>
        <w:ind w:left="2868" w:hanging="360"/>
      </w:pPr>
      <w:rPr>
        <w:rFonts w:hint="default"/>
      </w:rPr>
    </w:lvl>
    <w:lvl w:ilvl="3" w:tplc="DF4A9F28">
      <w:numFmt w:val="bullet"/>
      <w:lvlText w:val="•"/>
      <w:lvlJc w:val="left"/>
      <w:pPr>
        <w:ind w:left="3912" w:hanging="360"/>
      </w:pPr>
      <w:rPr>
        <w:rFonts w:hint="default"/>
      </w:rPr>
    </w:lvl>
    <w:lvl w:ilvl="4" w:tplc="5FBC04D0">
      <w:numFmt w:val="bullet"/>
      <w:lvlText w:val="•"/>
      <w:lvlJc w:val="left"/>
      <w:pPr>
        <w:ind w:left="4956" w:hanging="360"/>
      </w:pPr>
      <w:rPr>
        <w:rFonts w:hint="default"/>
      </w:rPr>
    </w:lvl>
    <w:lvl w:ilvl="5" w:tplc="FD7063C0">
      <w:numFmt w:val="bullet"/>
      <w:lvlText w:val="•"/>
      <w:lvlJc w:val="left"/>
      <w:pPr>
        <w:ind w:left="6000" w:hanging="360"/>
      </w:pPr>
      <w:rPr>
        <w:rFonts w:hint="default"/>
      </w:rPr>
    </w:lvl>
    <w:lvl w:ilvl="6" w:tplc="420883EC">
      <w:numFmt w:val="bullet"/>
      <w:lvlText w:val="•"/>
      <w:lvlJc w:val="left"/>
      <w:pPr>
        <w:ind w:left="7044" w:hanging="360"/>
      </w:pPr>
      <w:rPr>
        <w:rFonts w:hint="default"/>
      </w:rPr>
    </w:lvl>
    <w:lvl w:ilvl="7" w:tplc="96FEF90A">
      <w:numFmt w:val="bullet"/>
      <w:lvlText w:val="•"/>
      <w:lvlJc w:val="left"/>
      <w:pPr>
        <w:ind w:left="8088" w:hanging="360"/>
      </w:pPr>
      <w:rPr>
        <w:rFonts w:hint="default"/>
      </w:rPr>
    </w:lvl>
    <w:lvl w:ilvl="8" w:tplc="775EC6E2">
      <w:numFmt w:val="bullet"/>
      <w:lvlText w:val="•"/>
      <w:lvlJc w:val="left"/>
      <w:pPr>
        <w:ind w:left="913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6CA"/>
    <w:rsid w:val="000616CA"/>
    <w:rsid w:val="008B1B69"/>
    <w:rsid w:val="00F9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68228-E510-4BD3-89F2-7609C68C0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616CA"/>
    <w:pPr>
      <w:widowControl w:val="0"/>
      <w:autoSpaceDE w:val="0"/>
      <w:autoSpaceDN w:val="0"/>
      <w:spacing w:after="0" w:line="240" w:lineRule="auto"/>
    </w:pPr>
    <w:rPr>
      <w:rFonts w:ascii="Open Sans" w:eastAsia="Open Sans" w:hAnsi="Open Sans" w:cs="Open Sans"/>
    </w:rPr>
  </w:style>
  <w:style w:type="paragraph" w:styleId="Heading1">
    <w:name w:val="heading 1"/>
    <w:basedOn w:val="Normal"/>
    <w:link w:val="Heading1Char"/>
    <w:uiPriority w:val="1"/>
    <w:qFormat/>
    <w:rsid w:val="000616CA"/>
    <w:pPr>
      <w:spacing w:before="110"/>
      <w:ind w:left="141"/>
      <w:outlineLvl w:val="0"/>
    </w:pPr>
    <w:rPr>
      <w:rFonts w:ascii="Canaro" w:eastAsia="Canaro" w:hAnsi="Canaro" w:cs="Canaro"/>
      <w:b/>
      <w:bCs/>
      <w:sz w:val="28"/>
      <w:szCs w:val="28"/>
    </w:rPr>
  </w:style>
  <w:style w:type="paragraph" w:styleId="Heading3">
    <w:name w:val="heading 3"/>
    <w:basedOn w:val="Normal"/>
    <w:link w:val="Heading3Char"/>
    <w:uiPriority w:val="1"/>
    <w:qFormat/>
    <w:rsid w:val="000616CA"/>
    <w:pPr>
      <w:ind w:left="280"/>
      <w:outlineLvl w:val="2"/>
    </w:pPr>
    <w:rPr>
      <w:rFonts w:ascii="OpenSans-Semibold" w:eastAsia="OpenSans-Semibold" w:hAnsi="OpenSans-Semibold" w:cs="OpenSans-Semibold"/>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616CA"/>
    <w:rPr>
      <w:rFonts w:ascii="Canaro" w:eastAsia="Canaro" w:hAnsi="Canaro" w:cs="Canaro"/>
      <w:b/>
      <w:bCs/>
      <w:sz w:val="28"/>
      <w:szCs w:val="28"/>
    </w:rPr>
  </w:style>
  <w:style w:type="character" w:customStyle="1" w:styleId="Heading3Char">
    <w:name w:val="Heading 3 Char"/>
    <w:basedOn w:val="DefaultParagraphFont"/>
    <w:link w:val="Heading3"/>
    <w:uiPriority w:val="1"/>
    <w:rsid w:val="000616CA"/>
    <w:rPr>
      <w:rFonts w:ascii="OpenSans-Semibold" w:eastAsia="OpenSans-Semibold" w:hAnsi="OpenSans-Semibold" w:cs="OpenSans-Semibold"/>
      <w:b/>
      <w:bCs/>
      <w:sz w:val="19"/>
      <w:szCs w:val="19"/>
    </w:rPr>
  </w:style>
  <w:style w:type="paragraph" w:styleId="BodyText">
    <w:name w:val="Body Text"/>
    <w:basedOn w:val="Normal"/>
    <w:link w:val="BodyTextChar"/>
    <w:uiPriority w:val="1"/>
    <w:qFormat/>
    <w:rsid w:val="000616CA"/>
    <w:rPr>
      <w:sz w:val="19"/>
      <w:szCs w:val="19"/>
    </w:rPr>
  </w:style>
  <w:style w:type="character" w:customStyle="1" w:styleId="BodyTextChar">
    <w:name w:val="Body Text Char"/>
    <w:basedOn w:val="DefaultParagraphFont"/>
    <w:link w:val="BodyText"/>
    <w:uiPriority w:val="1"/>
    <w:rsid w:val="000616CA"/>
    <w:rPr>
      <w:rFonts w:ascii="Open Sans" w:eastAsia="Open Sans" w:hAnsi="Open Sans" w:cs="Open Sans"/>
      <w:sz w:val="19"/>
      <w:szCs w:val="19"/>
    </w:rPr>
  </w:style>
  <w:style w:type="paragraph" w:styleId="ListParagraph">
    <w:name w:val="List Paragraph"/>
    <w:basedOn w:val="Normal"/>
    <w:uiPriority w:val="1"/>
    <w:qFormat/>
    <w:rsid w:val="000616CA"/>
    <w:pPr>
      <w:ind w:left="820" w:hanging="360"/>
    </w:pPr>
  </w:style>
  <w:style w:type="paragraph" w:customStyle="1" w:styleId="TableParagraph">
    <w:name w:val="Table Paragraph"/>
    <w:basedOn w:val="Normal"/>
    <w:uiPriority w:val="1"/>
    <w:qFormat/>
    <w:rsid w:val="00061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Simisola Olagundoye</dc:creator>
  <cp:keywords/>
  <dc:description/>
  <cp:lastModifiedBy>Simisola Olagundoye</cp:lastModifiedBy>
  <cp:revision>1</cp:revision>
  <dcterms:created xsi:type="dcterms:W3CDTF">2017-08-07T16:27:00Z</dcterms:created>
  <dcterms:modified xsi:type="dcterms:W3CDTF">2017-08-07T16:27:00Z</dcterms:modified>
</cp:coreProperties>
</file>